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2F20281E" w:rsidR="00700EF5" w:rsidRPr="00CE0424" w:rsidRDefault="00700EF5" w:rsidP="00700EF5">
      <w:pPr>
        <w:pStyle w:val="3GPPHeader"/>
        <w:spacing w:after="60"/>
        <w:rPr>
          <w:sz w:val="32"/>
          <w:szCs w:val="32"/>
          <w:highlight w:val="yellow"/>
        </w:rPr>
      </w:pPr>
      <w:r w:rsidRPr="00CE0424">
        <w:t>3GPP TSG-RAN WG</w:t>
      </w:r>
      <w:r>
        <w:t>2</w:t>
      </w:r>
      <w:r w:rsidR="009F30D1">
        <w:t>#</w:t>
      </w:r>
      <w:r w:rsidR="003405F6">
        <w:t>106</w:t>
      </w:r>
      <w:r w:rsidRPr="00CE0424">
        <w:tab/>
      </w:r>
      <w:r w:rsidRPr="00A825BA">
        <w:rPr>
          <w:sz w:val="32"/>
          <w:szCs w:val="32"/>
        </w:rPr>
        <w:t>R2-</w:t>
      </w:r>
      <w:r w:rsidR="004A00D0" w:rsidRPr="004A00D0">
        <w:rPr>
          <w:sz w:val="32"/>
          <w:szCs w:val="32"/>
        </w:rPr>
        <w:t>1907254</w:t>
      </w:r>
    </w:p>
    <w:p w14:paraId="61BE6F18" w14:textId="319B75C9" w:rsidR="00700EF5" w:rsidRPr="00CE0424" w:rsidRDefault="003405F6" w:rsidP="00700EF5">
      <w:pPr>
        <w:pStyle w:val="3GPPHeader"/>
      </w:pPr>
      <w:r>
        <w:rPr>
          <w:noProof/>
        </w:rPr>
        <w:t>Reno, Nevada, USA, 13</w:t>
      </w:r>
      <w:r>
        <w:rPr>
          <w:noProof/>
          <w:vertAlign w:val="superscript"/>
        </w:rPr>
        <w:t>th</w:t>
      </w:r>
      <w:r>
        <w:rPr>
          <w:noProof/>
        </w:rPr>
        <w:t xml:space="preserve"> – 17</w:t>
      </w:r>
      <w:r w:rsidRPr="002654C9">
        <w:rPr>
          <w:noProof/>
          <w:vertAlign w:val="superscript"/>
        </w:rPr>
        <w:t>th</w:t>
      </w:r>
      <w:r>
        <w:rPr>
          <w:noProof/>
        </w:rPr>
        <w:t xml:space="preserve"> May 2019</w:t>
      </w:r>
      <w:r w:rsidR="00646360">
        <w:tab/>
      </w:r>
    </w:p>
    <w:p w14:paraId="61B8CD33" w14:textId="77777777" w:rsidR="00E90E49" w:rsidRPr="00CE0424" w:rsidRDefault="00E90E49" w:rsidP="00357380">
      <w:pPr>
        <w:pStyle w:val="3GPPHeader"/>
      </w:pPr>
    </w:p>
    <w:p w14:paraId="09A5036F" w14:textId="06F1014C" w:rsidR="00E90E49" w:rsidRPr="00B973A7" w:rsidRDefault="00E90E49" w:rsidP="00311702">
      <w:pPr>
        <w:pStyle w:val="3GPPHeader"/>
        <w:rPr>
          <w:sz w:val="22"/>
          <w:szCs w:val="22"/>
          <w:lang w:val="en-US"/>
        </w:rPr>
      </w:pPr>
      <w:r w:rsidRPr="00B973A7">
        <w:rPr>
          <w:sz w:val="22"/>
          <w:szCs w:val="22"/>
          <w:lang w:val="en-US"/>
        </w:rPr>
        <w:t>Agenda Item:</w:t>
      </w:r>
      <w:r w:rsidRPr="00B973A7">
        <w:rPr>
          <w:sz w:val="22"/>
          <w:szCs w:val="22"/>
          <w:lang w:val="en-US"/>
        </w:rPr>
        <w:tab/>
      </w:r>
      <w:r w:rsidR="005F0ABB" w:rsidRPr="00F5619B">
        <w:rPr>
          <w:sz w:val="22"/>
          <w:szCs w:val="22"/>
          <w:lang w:val="en-US"/>
        </w:rPr>
        <w:t>11.10.3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18899EDA" w:rsidR="00E90E49" w:rsidRPr="00CE0424" w:rsidRDefault="003D3C45" w:rsidP="00311702">
      <w:pPr>
        <w:pStyle w:val="3GPPHeader"/>
        <w:rPr>
          <w:sz w:val="22"/>
          <w:szCs w:val="22"/>
        </w:rPr>
      </w:pPr>
      <w:r>
        <w:rPr>
          <w:sz w:val="22"/>
          <w:szCs w:val="22"/>
        </w:rPr>
        <w:t>Title:</w:t>
      </w:r>
      <w:r w:rsidR="00E90E49" w:rsidRPr="00CE0424">
        <w:rPr>
          <w:sz w:val="22"/>
          <w:szCs w:val="22"/>
        </w:rPr>
        <w:tab/>
      </w:r>
      <w:r w:rsidR="00B973A7" w:rsidRPr="00B973A7">
        <w:rPr>
          <w:sz w:val="22"/>
          <w:szCs w:val="22"/>
        </w:rPr>
        <w:t>FFSs regarding early measurement configurations</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790F2751" w14:textId="0C96AD5F" w:rsidR="009E6AB0" w:rsidRDefault="0020755D" w:rsidP="009E6AB0">
      <w:r w:rsidRPr="007C46AC">
        <w:t>The Work Item Description for DC and CA enhancements i</w:t>
      </w:r>
      <w:r w:rsidR="00F46A51" w:rsidRPr="007C46AC">
        <w:t>n</w:t>
      </w:r>
      <w:r w:rsidR="003F6357" w:rsidRPr="007C46AC">
        <w:t xml:space="preserve"> </w:t>
      </w:r>
      <w:r w:rsidR="00E423FB" w:rsidRPr="007C46AC">
        <w:fldChar w:fldCharType="begin"/>
      </w:r>
      <w:r w:rsidR="00E423FB" w:rsidRPr="007C46AC">
        <w:instrText xml:space="preserve"> REF _Ref524870 \r \h </w:instrText>
      </w:r>
      <w:r w:rsidR="007C46AC">
        <w:instrText xml:space="preserve"> \* MERGEFORMAT </w:instrText>
      </w:r>
      <w:r w:rsidR="00E423FB" w:rsidRPr="007C46AC">
        <w:fldChar w:fldCharType="separate"/>
      </w:r>
      <w:r w:rsidR="008D1114">
        <w:t>[1]</w:t>
      </w:r>
      <w:r w:rsidR="00E423FB" w:rsidRPr="007C46AC">
        <w:fldChar w:fldCharType="end"/>
      </w:r>
      <w:r w:rsidR="00E423FB" w:rsidRPr="007C46AC">
        <w:t xml:space="preserve"> </w:t>
      </w:r>
      <w:r w:rsidRPr="007C46AC">
        <w:t>was approved at the RAN#81 meeting. One of the objectives concern</w:t>
      </w:r>
      <w:r w:rsidR="00E11C4C" w:rsidRPr="007C46AC">
        <w:t>s</w:t>
      </w:r>
      <w:r w:rsidRPr="007C46AC">
        <w:t xml:space="preserve"> how to reduce the delay until </w:t>
      </w:r>
      <w:r w:rsidR="00E11C4C" w:rsidRPr="007C46AC">
        <w:t xml:space="preserve">the </w:t>
      </w:r>
      <w:r w:rsidRPr="007C46AC">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bookmarkStart w:id="0" w:name="_GoBack"/>
      <w:bookmarkEnd w:id="0"/>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550586EB" w14:textId="77777777" w:rsidR="00651246" w:rsidRDefault="00651246" w:rsidP="004C4DE5">
      <w:r>
        <w:t>Early measurement reporting was discussed at the RAN2#105 meeting, with the following agreements:</w:t>
      </w:r>
    </w:p>
    <w:p w14:paraId="4323C79A"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Agreements:</w:t>
      </w:r>
    </w:p>
    <w:p w14:paraId="4EAD442C"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For IDLE/INACTIVE</w:t>
      </w:r>
    </w:p>
    <w:p w14:paraId="681D350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14:paraId="43886712"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 xml:space="preserve">NR early measurement configuration </w:t>
      </w:r>
      <w:r>
        <w:t>should</w:t>
      </w:r>
      <w:r w:rsidRPr="006D2BD3">
        <w:t xml:space="preserve"> include NR specific measurement parameters configurations.</w:t>
      </w:r>
    </w:p>
    <w:p w14:paraId="62E6FE5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Available beam</w:t>
      </w:r>
      <w:r>
        <w:t xml:space="preserve"> and cell</w:t>
      </w:r>
      <w:r w:rsidRPr="006D2BD3">
        <w:t xml:space="preserve"> level measurement results can be included in early measurement reporting if configured.  </w:t>
      </w:r>
    </w:p>
    <w:p w14:paraId="6E04A466" w14:textId="5069FFC4" w:rsidR="00651246" w:rsidRDefault="00651246" w:rsidP="004C4DE5"/>
    <w:p w14:paraId="0D85EAA8" w14:textId="64A5D2A2" w:rsidR="00CF69FD" w:rsidRDefault="00CF69FD" w:rsidP="004C4DE5">
      <w:r>
        <w:t>At the RAN2#105bis meeting the following agreements were reached for early measurement configuration:</w:t>
      </w:r>
    </w:p>
    <w:p w14:paraId="2E882DA7"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Agreements</w:t>
      </w:r>
    </w:p>
    <w:p w14:paraId="394C2188"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NR early measurements can be configured in both NR </w:t>
      </w:r>
      <w:proofErr w:type="spellStart"/>
      <w:r w:rsidRPr="00D6384F">
        <w:t>RRCRelease</w:t>
      </w:r>
      <w:proofErr w:type="spellEnd"/>
      <w:r w:rsidRPr="00D6384F">
        <w:t xml:space="preserve"> message and NR system information. </w:t>
      </w:r>
    </w:p>
    <w:p w14:paraId="38AF2B49"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FFS: Whether there are differences in the configuration that can be provided by </w:t>
      </w:r>
      <w:proofErr w:type="spellStart"/>
      <w:r w:rsidRPr="00D6384F">
        <w:t>RRCRelease</w:t>
      </w:r>
      <w:proofErr w:type="spellEnd"/>
      <w:r w:rsidRPr="00D6384F">
        <w:t xml:space="preserve"> and SI.</w:t>
      </w:r>
    </w:p>
    <w:p w14:paraId="331C50EF"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Introduce some indication about the cell's early measurement support in NR system information.</w:t>
      </w:r>
    </w:p>
    <w:p w14:paraId="6059AA41"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3: </w:t>
      </w:r>
      <w:r w:rsidRPr="00D6384F">
        <w:tab/>
        <w:t>To control the duration of UE performing both IDLE and INACTIVE measurements, a single validity timer (</w:t>
      </w:r>
      <w:proofErr w:type="gramStart"/>
      <w:r w:rsidRPr="00D6384F">
        <w:t>similar to</w:t>
      </w:r>
      <w:proofErr w:type="gramEnd"/>
      <w:r w:rsidRPr="00D6384F">
        <w:t xml:space="preserve"> </w:t>
      </w:r>
      <w:proofErr w:type="spellStart"/>
      <w:r w:rsidRPr="00D6384F">
        <w:t>measIdleDuration</w:t>
      </w:r>
      <w:proofErr w:type="spellEnd"/>
      <w:r w:rsidRPr="00D6384F">
        <w:t xml:space="preserve"> in LTE </w:t>
      </w:r>
      <w:proofErr w:type="spellStart"/>
      <w:r w:rsidRPr="00D6384F">
        <w:t>euCA</w:t>
      </w:r>
      <w:proofErr w:type="spellEnd"/>
      <w:r w:rsidRPr="00D6384F">
        <w:t xml:space="preserve">) is mandatory indicated only in NR </w:t>
      </w:r>
      <w:proofErr w:type="spellStart"/>
      <w:r w:rsidRPr="00D6384F">
        <w:t>RRCRelease</w:t>
      </w:r>
      <w:proofErr w:type="spellEnd"/>
      <w:r w:rsidRPr="00D6384F">
        <w:t xml:space="preserve"> message, i.e. not included in NR SIB.</w:t>
      </w:r>
    </w:p>
    <w:p w14:paraId="6AE559C0"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 xml:space="preserve">For both IDLE and INACTIVE early measurements, the following IEs can be optionally configured per NR frequency in both NR </w:t>
      </w:r>
      <w:proofErr w:type="spellStart"/>
      <w:r w:rsidRPr="00D6384F">
        <w:t>RRCRelease</w:t>
      </w:r>
      <w:proofErr w:type="spellEnd"/>
      <w:r w:rsidRPr="00D6384F">
        <w:t xml:space="preserve"> message and NR SIB:</w:t>
      </w:r>
    </w:p>
    <w:p w14:paraId="7BB1084B"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w:t>
      </w:r>
      <w:r w:rsidRPr="00D6384F">
        <w:tab/>
      </w:r>
      <w:bookmarkStart w:id="1" w:name="_Hlk7511837"/>
      <w:r w:rsidRPr="00D6384F">
        <w:t>A list of frequencies and optionally cells (</w:t>
      </w:r>
      <w:proofErr w:type="gramStart"/>
      <w:r w:rsidRPr="00D6384F">
        <w:t>similar to</w:t>
      </w:r>
      <w:proofErr w:type="gramEnd"/>
      <w:r w:rsidRPr="00D6384F">
        <w:t xml:space="preserve">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p>
    <w:p w14:paraId="519814AA"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cell quality threshold (</w:t>
      </w:r>
      <w:proofErr w:type="gramStart"/>
      <w:r w:rsidRPr="00D6384F">
        <w:t>similar to</w:t>
      </w:r>
      <w:proofErr w:type="gramEnd"/>
      <w:r w:rsidRPr="00D6384F">
        <w:t xml:space="preserve"> </w:t>
      </w:r>
      <w:proofErr w:type="spellStart"/>
      <w:r w:rsidRPr="00D6384F">
        <w:t>qualityThreshold</w:t>
      </w:r>
      <w:proofErr w:type="spellEnd"/>
      <w:r w:rsidRPr="00D6384F">
        <w:t xml:space="preserve"> in LTE </w:t>
      </w:r>
      <w:proofErr w:type="spellStart"/>
      <w:r w:rsidRPr="00D6384F">
        <w:t>euCA</w:t>
      </w:r>
      <w:proofErr w:type="spellEnd"/>
      <w:r w:rsidRPr="00D6384F">
        <w:t>) the UE is required to report the measurement results only for the cells which met the configured thresholds</w:t>
      </w:r>
      <w:bookmarkEnd w:id="1"/>
      <w:r w:rsidRPr="00D6384F">
        <w:t>.</w:t>
      </w:r>
    </w:p>
    <w:p w14:paraId="525D9B7E"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FFS: A validity Area (</w:t>
      </w:r>
      <w:proofErr w:type="gramStart"/>
      <w:r w:rsidRPr="00D6384F">
        <w:t>similar to</w:t>
      </w:r>
      <w:proofErr w:type="gramEnd"/>
      <w:r w:rsidRPr="00D6384F">
        <w:t xml:space="preserve"> </w:t>
      </w:r>
      <w:proofErr w:type="spellStart"/>
      <w:r w:rsidRPr="00D6384F">
        <w:t>validityArea</w:t>
      </w:r>
      <w:proofErr w:type="spellEnd"/>
      <w:r w:rsidRPr="00D6384F">
        <w:t xml:space="preserve"> in LTE </w:t>
      </w:r>
      <w:proofErr w:type="spellStart"/>
      <w:r w:rsidRPr="00D6384F">
        <w:t>euCA</w:t>
      </w:r>
      <w:proofErr w:type="spellEnd"/>
      <w:r w:rsidRPr="00D6384F">
        <w:t>) to indicate the list of cells within which UE is required to perform early measurements. If the UE reselects to a cell outside this list, the early measurements are no longer required (same as timer expiry).</w:t>
      </w:r>
    </w:p>
    <w:p w14:paraId="6C231387"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lastRenderedPageBreak/>
        <w:tab/>
        <w:t>o</w:t>
      </w:r>
      <w:r w:rsidRPr="00D6384F">
        <w:tab/>
        <w:t xml:space="preserve">If it is absent, the UE will not have area limitation of early measurements. </w:t>
      </w:r>
    </w:p>
    <w:p w14:paraId="18B10B52"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For SSB based measurements:</w:t>
      </w:r>
    </w:p>
    <w:p w14:paraId="5B0C0435"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5:</w:t>
      </w:r>
      <w:r w:rsidRPr="00D6384F">
        <w:tab/>
        <w:t>For both IDLE and INACTIVE early measurements, SSB frequencies to be measured can be located out of sync raster</w:t>
      </w:r>
    </w:p>
    <w:p w14:paraId="770A40AA"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6: </w:t>
      </w:r>
      <w:r w:rsidRPr="00D6384F">
        <w:tab/>
        <w:t xml:space="preserve">For both IDLE and INACTIVE early measurements, RSRP and RSRQ can be configured as cell and beam measurement quantity. </w:t>
      </w:r>
    </w:p>
    <w:p w14:paraId="5F5FAAAC"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74237E7E"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8: </w:t>
      </w:r>
      <w:r w:rsidRPr="00D6384F">
        <w:tab/>
        <w:t xml:space="preserve">As LTE </w:t>
      </w:r>
      <w:proofErr w:type="spellStart"/>
      <w:r w:rsidRPr="00D6384F">
        <w:t>euCA</w:t>
      </w:r>
      <w:proofErr w:type="spellEnd"/>
      <w:r w:rsidRPr="00D6384F">
        <w:t>, cell / beam SINR is not introduced as measurement quantity in NR early measurement configuration in Rel-16.</w:t>
      </w:r>
    </w:p>
    <w:p w14:paraId="10B8AB33"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For SSB based beam level measurement configurations:</w:t>
      </w:r>
    </w:p>
    <w:p w14:paraId="178C8E15"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9</w:t>
      </w:r>
      <w:r w:rsidRPr="00D6384F">
        <w:tab/>
        <w:t>The UE is required to report the beam with the highest measurement quantity</w:t>
      </w:r>
    </w:p>
    <w:p w14:paraId="06338B35"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FFS: Whether additional beams can be reported.</w:t>
      </w:r>
    </w:p>
    <w:p w14:paraId="02701FFD"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10: For both IDLE and INACTIVE early measurements, the UE can be configured with one of the 3 beam reporting types</w:t>
      </w:r>
    </w:p>
    <w:p w14:paraId="2287D513"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No beam reporting; </w:t>
      </w:r>
    </w:p>
    <w:p w14:paraId="5005FB2B"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 xml:space="preserve">Only beam identifier </w:t>
      </w:r>
    </w:p>
    <w:p w14:paraId="1081731F"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3)</w:t>
      </w:r>
      <w:r w:rsidRPr="00D6384F">
        <w:tab/>
        <w:t xml:space="preserve">Both beam identifier and quantity </w:t>
      </w:r>
    </w:p>
    <w:p w14:paraId="512A1F36"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FFS: Whether to support CSI-RS based NR early measurements</w:t>
      </w:r>
    </w:p>
    <w:p w14:paraId="57FC483C"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11: 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Details are FFS</w:t>
      </w:r>
    </w:p>
    <w:p w14:paraId="2A3A1931" w14:textId="488E7D6C" w:rsidR="00CF69FD" w:rsidRDefault="00CF69FD" w:rsidP="004C4DE5"/>
    <w:p w14:paraId="1F6C39B8" w14:textId="6D997CB3" w:rsidR="00B973A7" w:rsidRDefault="00B973A7" w:rsidP="004C4DE5">
      <w:r>
        <w:t>From the agreements on early measurement configurations t</w:t>
      </w:r>
      <w:r w:rsidR="007351AE" w:rsidRPr="00824E03">
        <w:t>he</w:t>
      </w:r>
      <w:r>
        <w:t>re</w:t>
      </w:r>
      <w:r w:rsidR="007351AE" w:rsidRPr="00824E03">
        <w:t xml:space="preserve"> </w:t>
      </w:r>
      <w:r w:rsidR="003854FF">
        <w:t xml:space="preserve">are </w:t>
      </w:r>
      <w:r>
        <w:t xml:space="preserve">FFSs listed for some </w:t>
      </w:r>
      <w:r w:rsidR="003854FF">
        <w:t xml:space="preserve">of the </w:t>
      </w:r>
      <w:r>
        <w:t>topics</w:t>
      </w:r>
      <w:r w:rsidR="003854FF">
        <w:t>:</w:t>
      </w:r>
    </w:p>
    <w:p w14:paraId="140DA9D4" w14:textId="3451C980" w:rsidR="00B973A7" w:rsidRPr="00053B7F" w:rsidRDefault="00B973A7" w:rsidP="00B973A7">
      <w:pPr>
        <w:pStyle w:val="ListParagraph"/>
        <w:numPr>
          <w:ilvl w:val="0"/>
          <w:numId w:val="39"/>
        </w:numPr>
        <w:rPr>
          <w:rFonts w:ascii="Arial" w:hAnsi="Arial" w:cs="Arial"/>
          <w:sz w:val="20"/>
          <w:lang w:val="en-US"/>
        </w:rPr>
      </w:pPr>
      <w:r w:rsidRPr="00053B7F">
        <w:rPr>
          <w:rFonts w:ascii="Arial" w:hAnsi="Arial" w:cs="Arial"/>
          <w:sz w:val="20"/>
          <w:lang w:val="en-US"/>
        </w:rPr>
        <w:t xml:space="preserve">Whether there are differences in the configuration that can be provided by </w:t>
      </w:r>
      <w:proofErr w:type="spellStart"/>
      <w:r w:rsidRPr="00053B7F">
        <w:rPr>
          <w:rFonts w:ascii="Arial" w:hAnsi="Arial" w:cs="Arial"/>
          <w:sz w:val="20"/>
          <w:lang w:val="en-US"/>
        </w:rPr>
        <w:t>RRCRelease</w:t>
      </w:r>
      <w:proofErr w:type="spellEnd"/>
      <w:r w:rsidRPr="00053B7F">
        <w:rPr>
          <w:rFonts w:ascii="Arial" w:hAnsi="Arial" w:cs="Arial"/>
          <w:sz w:val="20"/>
          <w:lang w:val="en-US"/>
        </w:rPr>
        <w:t xml:space="preserve"> and SI.</w:t>
      </w:r>
    </w:p>
    <w:p w14:paraId="7588DD7E" w14:textId="145E5D81" w:rsidR="00B973A7" w:rsidRPr="00053B7F" w:rsidRDefault="003854FF" w:rsidP="003854FF">
      <w:pPr>
        <w:pStyle w:val="ListParagraph"/>
        <w:numPr>
          <w:ilvl w:val="0"/>
          <w:numId w:val="39"/>
        </w:numPr>
        <w:rPr>
          <w:rFonts w:ascii="Arial" w:hAnsi="Arial" w:cs="Arial"/>
          <w:sz w:val="20"/>
          <w:lang w:val="en-US"/>
        </w:rPr>
      </w:pPr>
      <w:r w:rsidRPr="00053B7F">
        <w:rPr>
          <w:rFonts w:ascii="Arial" w:hAnsi="Arial" w:cs="Arial"/>
          <w:sz w:val="20"/>
          <w:lang w:val="en-US"/>
        </w:rPr>
        <w:t>Whether to include a</w:t>
      </w:r>
      <w:r w:rsidR="00B973A7" w:rsidRPr="00053B7F">
        <w:rPr>
          <w:rFonts w:ascii="Arial" w:hAnsi="Arial" w:cs="Arial"/>
          <w:sz w:val="20"/>
          <w:lang w:val="en-US"/>
        </w:rPr>
        <w:t xml:space="preserve"> validity Area to indicate the list of cells </w:t>
      </w:r>
      <w:r w:rsidRPr="00053B7F">
        <w:rPr>
          <w:rFonts w:ascii="Arial" w:hAnsi="Arial" w:cs="Arial"/>
          <w:sz w:val="20"/>
          <w:lang w:val="en-US"/>
        </w:rPr>
        <w:t xml:space="preserve">where the </w:t>
      </w:r>
      <w:r w:rsidR="00B973A7" w:rsidRPr="00053B7F">
        <w:rPr>
          <w:rFonts w:ascii="Arial" w:hAnsi="Arial" w:cs="Arial"/>
          <w:sz w:val="20"/>
          <w:lang w:val="en-US"/>
        </w:rPr>
        <w:t>UE is required to perform early measurements.</w:t>
      </w:r>
    </w:p>
    <w:p w14:paraId="0308D1F4" w14:textId="0335ED37" w:rsidR="00B973A7" w:rsidRPr="00053B7F" w:rsidRDefault="00B973A7" w:rsidP="00B973A7">
      <w:pPr>
        <w:pStyle w:val="ListParagraph"/>
        <w:numPr>
          <w:ilvl w:val="0"/>
          <w:numId w:val="39"/>
        </w:numPr>
        <w:rPr>
          <w:rFonts w:ascii="Arial" w:hAnsi="Arial" w:cs="Arial"/>
          <w:sz w:val="20"/>
          <w:lang w:val="en-US"/>
        </w:rPr>
      </w:pPr>
      <w:r w:rsidRPr="00053B7F">
        <w:rPr>
          <w:rFonts w:ascii="Arial" w:hAnsi="Arial" w:cs="Arial"/>
          <w:sz w:val="20"/>
          <w:lang w:val="en-US"/>
        </w:rPr>
        <w:t>Whether additional beams can be reported.</w:t>
      </w:r>
    </w:p>
    <w:p w14:paraId="64A95D1D" w14:textId="37DE0483" w:rsidR="00B973A7" w:rsidRPr="00053B7F" w:rsidRDefault="00B973A7" w:rsidP="00B973A7">
      <w:pPr>
        <w:pStyle w:val="ListParagraph"/>
        <w:numPr>
          <w:ilvl w:val="0"/>
          <w:numId w:val="39"/>
        </w:numPr>
        <w:rPr>
          <w:rFonts w:ascii="Arial" w:hAnsi="Arial" w:cs="Arial"/>
          <w:sz w:val="20"/>
          <w:lang w:val="en-US"/>
        </w:rPr>
      </w:pPr>
      <w:r w:rsidRPr="00053B7F">
        <w:rPr>
          <w:rFonts w:ascii="Arial" w:hAnsi="Arial" w:cs="Arial"/>
          <w:sz w:val="20"/>
          <w:lang w:val="en-US"/>
        </w:rPr>
        <w:t>Whether to support CSI-RS based NR early measurements</w:t>
      </w:r>
      <w:r w:rsidR="003854FF" w:rsidRPr="00053B7F">
        <w:rPr>
          <w:rFonts w:ascii="Arial" w:hAnsi="Arial" w:cs="Arial"/>
          <w:sz w:val="20"/>
          <w:lang w:val="en-US"/>
        </w:rPr>
        <w:t>.</w:t>
      </w:r>
    </w:p>
    <w:p w14:paraId="0AE1DAD9" w14:textId="2CA46743" w:rsidR="005D19B8" w:rsidRDefault="00824E03" w:rsidP="004C4DE5">
      <w:r w:rsidRPr="00824E03">
        <w:t xml:space="preserve">In this contribution we </w:t>
      </w:r>
      <w:r w:rsidR="00491763" w:rsidRPr="00824E03">
        <w:t xml:space="preserve">discuss </w:t>
      </w:r>
      <w:r w:rsidR="00B973A7">
        <w:t>these FFSs on early measurement configuration.</w:t>
      </w:r>
    </w:p>
    <w:p w14:paraId="3BFC8065" w14:textId="541B724B" w:rsidR="00F625BC" w:rsidRDefault="00F625BC" w:rsidP="004103C9">
      <w:pPr>
        <w:pStyle w:val="Heading1"/>
      </w:pPr>
      <w:bookmarkStart w:id="2" w:name="_Ref528173454"/>
      <w:bookmarkStart w:id="3" w:name="_Ref525647665"/>
      <w:r>
        <w:t>Discussion</w:t>
      </w:r>
      <w:bookmarkEnd w:id="2"/>
    </w:p>
    <w:bookmarkEnd w:id="3"/>
    <w:p w14:paraId="3FC4592A" w14:textId="3BDA047B" w:rsidR="00AF2722" w:rsidRPr="001B776A" w:rsidRDefault="00B973A7" w:rsidP="007E5AE3">
      <w:pPr>
        <w:pStyle w:val="Heading2"/>
      </w:pPr>
      <w:r>
        <w:t>Early measurement configuration in dedicated and broadcast signalling</w:t>
      </w:r>
    </w:p>
    <w:p w14:paraId="12C7B235" w14:textId="35CDA6D8" w:rsidR="004670F2" w:rsidRDefault="00AA71E9" w:rsidP="007E5AE3">
      <w:r>
        <w:t>I</w:t>
      </w:r>
      <w:r w:rsidR="004670F2">
        <w:rPr>
          <w:lang w:val="en-US"/>
        </w:rPr>
        <w:t xml:space="preserve">t was agreed </w:t>
      </w:r>
      <w:r>
        <w:rPr>
          <w:lang w:val="en-US"/>
        </w:rPr>
        <w:t xml:space="preserve">at the RAN2#105bis meeting </w:t>
      </w:r>
      <w:r w:rsidR="004670F2">
        <w:rPr>
          <w:lang w:val="en-US"/>
        </w:rPr>
        <w:t xml:space="preserve">that the </w:t>
      </w:r>
      <w:r w:rsidR="004670F2" w:rsidRPr="00D6384F">
        <w:t xml:space="preserve">NR early measurements can be configured in both NR </w:t>
      </w:r>
      <w:proofErr w:type="spellStart"/>
      <w:r w:rsidR="004670F2" w:rsidRPr="00D6384F">
        <w:t>RRCRelease</w:t>
      </w:r>
      <w:proofErr w:type="spellEnd"/>
      <w:r w:rsidR="004670F2" w:rsidRPr="00D6384F">
        <w:t xml:space="preserve"> message and NR system information</w:t>
      </w:r>
      <w:r w:rsidR="004670F2">
        <w:t>. It was then however left as an FFS w</w:t>
      </w:r>
      <w:r w:rsidR="004670F2" w:rsidRPr="00D6384F">
        <w:t xml:space="preserve">hether there are differences in the configuration that can be provided by </w:t>
      </w:r>
      <w:proofErr w:type="spellStart"/>
      <w:r w:rsidR="004670F2" w:rsidRPr="00D6384F">
        <w:t>RRCRelease</w:t>
      </w:r>
      <w:proofErr w:type="spellEnd"/>
      <w:r w:rsidR="004670F2" w:rsidRPr="00D6384F">
        <w:t xml:space="preserve"> and SI</w:t>
      </w:r>
      <w:r w:rsidR="004670F2">
        <w:t>.</w:t>
      </w:r>
    </w:p>
    <w:p w14:paraId="02E16825" w14:textId="77777777" w:rsidR="00AA71E9" w:rsidRDefault="00AA71E9" w:rsidP="00AA71E9">
      <w:r>
        <w:rPr>
          <w:lang w:val="en-US"/>
        </w:rPr>
        <w:t xml:space="preserve">As agreed at RAN2#105bis, </w:t>
      </w:r>
      <w:r>
        <w:t xml:space="preserve">a measurement duration timer is mandatory included in the </w:t>
      </w:r>
      <w:proofErr w:type="spellStart"/>
      <w:r>
        <w:t>the</w:t>
      </w:r>
      <w:proofErr w:type="spellEnd"/>
      <w:r>
        <w:t xml:space="preserve"> </w:t>
      </w:r>
      <w:proofErr w:type="spellStart"/>
      <w:r w:rsidRPr="00AA71E9">
        <w:rPr>
          <w:i/>
        </w:rPr>
        <w:t>RRCRelease</w:t>
      </w:r>
      <w:proofErr w:type="spellEnd"/>
      <w:r w:rsidRPr="00D6384F">
        <w:t xml:space="preserve"> message</w:t>
      </w:r>
      <w:r>
        <w:t xml:space="preserve"> and not included in the broadcast configuration, </w:t>
      </w:r>
      <w:r>
        <w:rPr>
          <w:lang w:val="en-US"/>
        </w:rPr>
        <w:t xml:space="preserve">just as for Rel-15 LTE </w:t>
      </w:r>
      <w:proofErr w:type="spellStart"/>
      <w:r>
        <w:rPr>
          <w:lang w:val="en-US"/>
        </w:rPr>
        <w:t>euCA</w:t>
      </w:r>
      <w:proofErr w:type="spellEnd"/>
      <w:r w:rsidRPr="00D6384F">
        <w:t>.</w:t>
      </w:r>
    </w:p>
    <w:p w14:paraId="5DD27416" w14:textId="59F42B97" w:rsidR="00AA71E9" w:rsidRDefault="00AA71E9" w:rsidP="00AA71E9">
      <w:pPr>
        <w:rPr>
          <w:lang w:val="en-US"/>
        </w:rPr>
      </w:pPr>
      <w:r>
        <w:t>It has also been agreed that both the dedicated and the broadcast configuration may contain a list of frequencies and optionally cells where the UE is required to perform the early measurements, and a cell quality threshold reporting of a cell. The question is then if there is a need to let these configurations be different for the dedicated signalling (</w:t>
      </w:r>
      <w:proofErr w:type="spellStart"/>
      <w:r w:rsidRPr="00AA71E9">
        <w:rPr>
          <w:i/>
        </w:rPr>
        <w:t>RRCRelease</w:t>
      </w:r>
      <w:proofErr w:type="spellEnd"/>
      <w:r>
        <w:t>) and the broadcast system information.</w:t>
      </w:r>
    </w:p>
    <w:p w14:paraId="44C23DF2" w14:textId="61231166" w:rsidR="00AB7835" w:rsidRPr="00756168" w:rsidRDefault="002C25E6" w:rsidP="007E5AE3">
      <w:pPr>
        <w:rPr>
          <w:lang w:val="en-US"/>
        </w:rPr>
      </w:pPr>
      <w:r>
        <w:rPr>
          <w:lang w:val="en-US"/>
        </w:rPr>
        <w:t xml:space="preserve">It can be considered to have different early measurement configurations for a UE depending on the state it is in, RRC_IDLE or RRC_INACTIVE, or </w:t>
      </w:r>
      <w:r w:rsidR="00AA71E9">
        <w:rPr>
          <w:lang w:val="en-US"/>
        </w:rPr>
        <w:t xml:space="preserve">the </w:t>
      </w:r>
      <w:r>
        <w:rPr>
          <w:lang w:val="en-US"/>
        </w:rPr>
        <w:t>capabilities</w:t>
      </w:r>
      <w:r w:rsidR="00AA71E9">
        <w:rPr>
          <w:lang w:val="en-US"/>
        </w:rPr>
        <w:t xml:space="preserve"> that it has</w:t>
      </w:r>
      <w:r>
        <w:rPr>
          <w:lang w:val="en-US"/>
        </w:rPr>
        <w:t xml:space="preserve">, such as whether it supports only CA or also DC. </w:t>
      </w:r>
      <w:r w:rsidR="00756168">
        <w:rPr>
          <w:lang w:val="en-US"/>
        </w:rPr>
        <w:t xml:space="preserve">In the dedicated configuration (in the </w:t>
      </w:r>
      <w:proofErr w:type="spellStart"/>
      <w:r w:rsidR="00756168" w:rsidRPr="00335FD8">
        <w:rPr>
          <w:i/>
          <w:lang w:val="en-US"/>
        </w:rPr>
        <w:t>RRCRelease</w:t>
      </w:r>
      <w:proofErr w:type="spellEnd"/>
      <w:r w:rsidR="00756168">
        <w:rPr>
          <w:lang w:val="en-US"/>
        </w:rPr>
        <w:t xml:space="preserve"> message) t</w:t>
      </w:r>
      <w:r>
        <w:rPr>
          <w:lang w:val="en-US"/>
        </w:rPr>
        <w:t xml:space="preserve">he </w:t>
      </w:r>
      <w:r w:rsidR="00335FD8">
        <w:rPr>
          <w:lang w:val="en-US"/>
        </w:rPr>
        <w:t>network can configur</w:t>
      </w:r>
      <w:r w:rsidR="00756168">
        <w:rPr>
          <w:lang w:val="en-US"/>
        </w:rPr>
        <w:t>e</w:t>
      </w:r>
      <w:r w:rsidR="00335FD8">
        <w:rPr>
          <w:lang w:val="en-US"/>
        </w:rPr>
        <w:t xml:space="preserve"> </w:t>
      </w:r>
      <w:r w:rsidR="00756168">
        <w:rPr>
          <w:lang w:val="en-US"/>
        </w:rPr>
        <w:t xml:space="preserve">the UE </w:t>
      </w:r>
      <w:r w:rsidR="00335FD8">
        <w:rPr>
          <w:lang w:val="en-US"/>
        </w:rPr>
        <w:t>accordingly, without any separat</w:t>
      </w:r>
      <w:r w:rsidR="00756168">
        <w:rPr>
          <w:lang w:val="en-US"/>
        </w:rPr>
        <w:t>ion of the</w:t>
      </w:r>
      <w:r w:rsidR="00335FD8">
        <w:rPr>
          <w:lang w:val="en-US"/>
        </w:rPr>
        <w:t xml:space="preserve"> configuration. The question is then whether it is necessary to </w:t>
      </w:r>
      <w:r w:rsidR="00756168">
        <w:rPr>
          <w:lang w:val="en-US"/>
        </w:rPr>
        <w:t xml:space="preserve">be able to </w:t>
      </w:r>
      <w:r w:rsidR="00335FD8">
        <w:rPr>
          <w:lang w:val="en-US"/>
        </w:rPr>
        <w:t>separate the</w:t>
      </w:r>
      <w:r w:rsidR="00756168">
        <w:rPr>
          <w:lang w:val="en-US"/>
        </w:rPr>
        <w:t>se types of</w:t>
      </w:r>
      <w:r w:rsidR="00335FD8">
        <w:rPr>
          <w:lang w:val="en-US"/>
        </w:rPr>
        <w:t xml:space="preserve"> configurations </w:t>
      </w:r>
      <w:r w:rsidR="00756168">
        <w:rPr>
          <w:lang w:val="en-US"/>
        </w:rPr>
        <w:t xml:space="preserve">also through </w:t>
      </w:r>
      <w:r w:rsidR="00335FD8">
        <w:rPr>
          <w:lang w:val="en-US"/>
        </w:rPr>
        <w:t>broadcast</w:t>
      </w:r>
      <w:r w:rsidR="00756168">
        <w:rPr>
          <w:lang w:val="en-US"/>
        </w:rPr>
        <w:t xml:space="preserve">, which then would mean that the broadcast configuration would need to be separated </w:t>
      </w:r>
      <w:r w:rsidR="00335FD8">
        <w:rPr>
          <w:lang w:val="en-US"/>
        </w:rPr>
        <w:t>for the different cases.</w:t>
      </w:r>
      <w:r w:rsidR="00756168">
        <w:rPr>
          <w:lang w:val="en-US"/>
        </w:rPr>
        <w:t xml:space="preserve"> This would increase the complexity and lead to that there are different types of configuration to handle for the UE. Considering that the dedicated </w:t>
      </w:r>
      <w:r w:rsidR="00756168">
        <w:rPr>
          <w:lang w:val="en-US"/>
        </w:rPr>
        <w:lastRenderedPageBreak/>
        <w:t>configuration can be used in these cases, we therefore think that the broadcast configuration should be the same as the dedicated one (i.e. without any separation for e.g. different states or capabilities).</w:t>
      </w:r>
    </w:p>
    <w:p w14:paraId="29B844F1" w14:textId="2653A696" w:rsidR="00B973A7" w:rsidRPr="00756168" w:rsidRDefault="00B973A7" w:rsidP="00B973A7">
      <w:pPr>
        <w:pStyle w:val="Proposal"/>
      </w:pPr>
      <w:bookmarkStart w:id="4" w:name="_Toc7453738"/>
      <w:bookmarkStart w:id="5" w:name="_Toc7516663"/>
      <w:bookmarkStart w:id="6" w:name="_Toc7540412"/>
      <w:bookmarkStart w:id="7" w:name="_Toc7732164"/>
      <w:bookmarkStart w:id="8" w:name="_Toc7732199"/>
      <w:bookmarkStart w:id="9" w:name="_Toc7732996"/>
      <w:r w:rsidRPr="00756168">
        <w:t xml:space="preserve">The </w:t>
      </w:r>
      <w:r w:rsidR="00694BBB" w:rsidRPr="00756168">
        <w:t xml:space="preserve">dedicated and broadcast early measurement configuration </w:t>
      </w:r>
      <w:r w:rsidR="00471EDB" w:rsidRPr="00756168">
        <w:t xml:space="preserve">have the same </w:t>
      </w:r>
      <w:r w:rsidR="00D10C97">
        <w:t>structure</w:t>
      </w:r>
      <w:r w:rsidR="00471EDB" w:rsidRPr="00756168">
        <w:t xml:space="preserve"> except for the measurement duration, which is only included in the dedicated signalling (the </w:t>
      </w:r>
      <w:proofErr w:type="spellStart"/>
      <w:r w:rsidR="00471EDB" w:rsidRPr="00756168">
        <w:rPr>
          <w:i/>
        </w:rPr>
        <w:t>RRCRelease</w:t>
      </w:r>
      <w:proofErr w:type="spellEnd"/>
      <w:r w:rsidR="00471EDB" w:rsidRPr="00756168">
        <w:t xml:space="preserve"> message)</w:t>
      </w:r>
      <w:r w:rsidRPr="00756168">
        <w:t>.</w:t>
      </w:r>
      <w:bookmarkEnd w:id="4"/>
      <w:bookmarkEnd w:id="5"/>
      <w:bookmarkEnd w:id="6"/>
      <w:bookmarkEnd w:id="7"/>
      <w:bookmarkEnd w:id="8"/>
      <w:bookmarkEnd w:id="9"/>
    </w:p>
    <w:p w14:paraId="154596D6" w14:textId="77777777" w:rsidR="00B973A7" w:rsidRDefault="00B973A7" w:rsidP="007E5AE3"/>
    <w:p w14:paraId="05E17F99" w14:textId="0AB4F668" w:rsidR="00DF5B9E" w:rsidRDefault="00B973A7" w:rsidP="00DF5B9E">
      <w:pPr>
        <w:pStyle w:val="Heading2"/>
      </w:pPr>
      <w:r>
        <w:t>On the need for validity area for early measurements</w:t>
      </w:r>
    </w:p>
    <w:p w14:paraId="74E5E76F" w14:textId="4273408D" w:rsidR="00D04B70" w:rsidRDefault="00756168" w:rsidP="00DF5B9E">
      <w:r>
        <w:t>I</w:t>
      </w:r>
      <w:r w:rsidR="00B973A7">
        <w:t xml:space="preserve">n LTE Rel-15, a validity area is optionally included in the idle mode measurement configurations. If the UE </w:t>
      </w:r>
      <w:r w:rsidR="00D05CE6">
        <w:t xml:space="preserve">enters a cell that is not part of the validity area, it can then consider the </w:t>
      </w:r>
      <w:r w:rsidR="00D05CE6" w:rsidRPr="005134A4">
        <w:rPr>
          <w:noProof/>
          <w:lang w:eastAsia="en-GB"/>
        </w:rPr>
        <w:t xml:space="preserve">measurements </w:t>
      </w:r>
      <w:r w:rsidR="00D05CE6">
        <w:rPr>
          <w:noProof/>
          <w:lang w:eastAsia="en-GB"/>
        </w:rPr>
        <w:t xml:space="preserve">as </w:t>
      </w:r>
      <w:r w:rsidR="00D05CE6" w:rsidRPr="005134A4">
        <w:rPr>
          <w:noProof/>
          <w:lang w:eastAsia="en-GB"/>
        </w:rPr>
        <w:t>no longer required</w:t>
      </w:r>
      <w:r w:rsidR="00B973A7">
        <w:t>.</w:t>
      </w:r>
      <w:r w:rsidR="00242C75">
        <w:t xml:space="preserve"> The validity area is configured through inclusion of the </w:t>
      </w:r>
      <w:proofErr w:type="spellStart"/>
      <w:r w:rsidR="00242C75">
        <w:t>validityArea</w:t>
      </w:r>
      <w:proofErr w:type="spellEnd"/>
      <w:r w:rsidR="00242C75">
        <w:t xml:space="preserve"> within instances of </w:t>
      </w:r>
      <w:proofErr w:type="spellStart"/>
      <w:r w:rsidR="00242C75" w:rsidRPr="00242C75">
        <w:rPr>
          <w:i/>
        </w:rPr>
        <w:t>MeasIdleCarrierEUTRA</w:t>
      </w:r>
      <w:proofErr w:type="spellEnd"/>
      <w:r w:rsidR="00242C75">
        <w:t>:</w:t>
      </w:r>
    </w:p>
    <w:p w14:paraId="23DB7305" w14:textId="77777777" w:rsidR="00242C75" w:rsidRPr="005134A4" w:rsidRDefault="00242C75" w:rsidP="00242C75">
      <w:pPr>
        <w:pStyle w:val="PL"/>
        <w:shd w:val="clear" w:color="auto" w:fill="E6E6E6"/>
      </w:pPr>
      <w:bookmarkStart w:id="10" w:name="_Hlk522735614"/>
      <w:r w:rsidRPr="005134A4">
        <w:t>MeasIdleCarrierEUTRA-r15::=</w:t>
      </w:r>
      <w:r w:rsidRPr="005134A4">
        <w:tab/>
      </w:r>
      <w:r w:rsidRPr="005134A4">
        <w:tab/>
      </w:r>
      <w:r w:rsidRPr="005134A4">
        <w:tab/>
        <w:t>SEQUENCE {</w:t>
      </w:r>
    </w:p>
    <w:p w14:paraId="34D856C4" w14:textId="77777777" w:rsidR="00242C75" w:rsidRPr="005134A4" w:rsidRDefault="00242C75" w:rsidP="00242C75">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ARFCN-ValueEUTRA-r9,</w:t>
      </w:r>
    </w:p>
    <w:p w14:paraId="6A856FC6" w14:textId="77777777" w:rsidR="00242C75" w:rsidRPr="005134A4" w:rsidRDefault="00242C75" w:rsidP="00242C75">
      <w:pPr>
        <w:pStyle w:val="PL"/>
        <w:shd w:val="clear" w:color="auto" w:fill="E6E6E6"/>
      </w:pPr>
      <w:r w:rsidRPr="005134A4">
        <w:tab/>
        <w:t>allowedMeasBandwidth-r15</w:t>
      </w:r>
      <w:r w:rsidRPr="005134A4">
        <w:tab/>
      </w:r>
      <w:r w:rsidRPr="005134A4">
        <w:tab/>
      </w:r>
      <w:r w:rsidRPr="005134A4">
        <w:tab/>
        <w:t>AllowedMeasBandwidth,</w:t>
      </w:r>
    </w:p>
    <w:p w14:paraId="1C1DDF37" w14:textId="77777777" w:rsidR="00242C75" w:rsidRPr="005134A4" w:rsidRDefault="00242C75" w:rsidP="00242C75">
      <w:pPr>
        <w:pStyle w:val="PL"/>
        <w:shd w:val="clear" w:color="auto" w:fill="E6E6E6"/>
      </w:pPr>
      <w:r w:rsidRPr="005134A4">
        <w:tab/>
      </w:r>
      <w:r w:rsidRPr="00242C75">
        <w:rPr>
          <w:highlight w:val="yellow"/>
        </w:rPr>
        <w:t>validityArea-r15</w:t>
      </w:r>
      <w:r w:rsidRPr="00242C75">
        <w:rPr>
          <w:highlight w:val="yellow"/>
        </w:rPr>
        <w:tab/>
      </w:r>
      <w:r w:rsidRPr="00242C75">
        <w:rPr>
          <w:highlight w:val="yellow"/>
        </w:rPr>
        <w:tab/>
      </w:r>
      <w:r w:rsidRPr="00242C75">
        <w:rPr>
          <w:highlight w:val="yellow"/>
        </w:rPr>
        <w:tab/>
      </w:r>
      <w:r w:rsidRPr="00242C75">
        <w:rPr>
          <w:highlight w:val="yellow"/>
        </w:rPr>
        <w:tab/>
      </w:r>
      <w:r w:rsidRPr="00242C75">
        <w:rPr>
          <w:highlight w:val="yellow"/>
        </w:rPr>
        <w:tab/>
        <w:t>CellList-r15</w:t>
      </w:r>
      <w:r w:rsidRPr="00242C75">
        <w:rPr>
          <w:highlight w:val="yellow"/>
        </w:rPr>
        <w:tab/>
      </w:r>
      <w:r w:rsidRPr="00242C75">
        <w:rPr>
          <w:highlight w:val="yellow"/>
        </w:rPr>
        <w:tab/>
      </w:r>
      <w:r w:rsidRPr="00242C75">
        <w:rPr>
          <w:highlight w:val="yellow"/>
        </w:rPr>
        <w:tab/>
      </w:r>
      <w:r w:rsidRPr="00242C75">
        <w:rPr>
          <w:highlight w:val="yellow"/>
        </w:rPr>
        <w:tab/>
      </w:r>
      <w:r w:rsidRPr="00242C75">
        <w:rPr>
          <w:highlight w:val="yellow"/>
        </w:rPr>
        <w:tab/>
        <w:t>OPTIONAL,</w:t>
      </w:r>
      <w:r w:rsidRPr="00242C75">
        <w:rPr>
          <w:highlight w:val="yellow"/>
        </w:rPr>
        <w:tab/>
        <w:t>-- Need OR</w:t>
      </w:r>
    </w:p>
    <w:p w14:paraId="4109041E" w14:textId="77777777" w:rsidR="00242C75" w:rsidRPr="005134A4" w:rsidRDefault="00242C75" w:rsidP="00242C75">
      <w:pPr>
        <w:pStyle w:val="PL"/>
        <w:shd w:val="clear" w:color="auto" w:fill="E6E6E6"/>
      </w:pPr>
      <w:r w:rsidRPr="005134A4">
        <w:tab/>
        <w:t>measCellList-r15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11EFC326" w14:textId="77777777" w:rsidR="00242C75" w:rsidRPr="005134A4" w:rsidRDefault="00242C75" w:rsidP="00242C75">
      <w:pPr>
        <w:pStyle w:val="PL"/>
        <w:shd w:val="clear" w:color="auto" w:fill="E6E6E6"/>
      </w:pPr>
      <w:r w:rsidRPr="005134A4">
        <w:tab/>
        <w:t>reportQuantities</w:t>
      </w:r>
      <w:r w:rsidRPr="005134A4">
        <w:tab/>
      </w:r>
      <w:r w:rsidRPr="005134A4">
        <w:tab/>
      </w:r>
      <w:r w:rsidRPr="005134A4">
        <w:tab/>
      </w:r>
      <w:r w:rsidRPr="005134A4">
        <w:tab/>
      </w:r>
      <w:r w:rsidRPr="005134A4">
        <w:tab/>
        <w:t>ENUMERATED {rsrp, rsrq, both},</w:t>
      </w:r>
    </w:p>
    <w:p w14:paraId="361E50E3" w14:textId="77777777" w:rsidR="00242C75" w:rsidRPr="005134A4" w:rsidRDefault="00242C75" w:rsidP="00242C75">
      <w:pPr>
        <w:pStyle w:val="PL"/>
        <w:shd w:val="clear" w:color="auto" w:fill="E6E6E6"/>
      </w:pPr>
      <w:r w:rsidRPr="005134A4">
        <w:tab/>
        <w:t>qualityThreshold-r15</w:t>
      </w:r>
      <w:r w:rsidRPr="005134A4">
        <w:tab/>
      </w:r>
      <w:r w:rsidRPr="005134A4">
        <w:tab/>
      </w:r>
      <w:r w:rsidRPr="005134A4">
        <w:tab/>
      </w:r>
      <w:r w:rsidRPr="005134A4">
        <w:tab/>
        <w:t>SEQUENCE {</w:t>
      </w:r>
    </w:p>
    <w:p w14:paraId="4411E443" w14:textId="77777777" w:rsidR="00242C75" w:rsidRPr="005134A4" w:rsidRDefault="00242C75" w:rsidP="00242C75">
      <w:pPr>
        <w:pStyle w:val="PL"/>
        <w:shd w:val="clear" w:color="auto" w:fill="E6E6E6"/>
      </w:pPr>
      <w:r w:rsidRPr="005134A4">
        <w:tab/>
      </w:r>
      <w:r w:rsidRPr="005134A4">
        <w:tab/>
        <w:t>idleRSRP-Threshold-r15</w:t>
      </w:r>
      <w:r w:rsidRPr="005134A4">
        <w:tab/>
      </w:r>
      <w:r w:rsidRPr="005134A4">
        <w:tab/>
      </w:r>
      <w:r w:rsidRPr="005134A4">
        <w:tab/>
      </w:r>
      <w:r w:rsidRPr="005134A4">
        <w:tab/>
        <w:t>RSRP-Range</w:t>
      </w:r>
      <w:r w:rsidRPr="005134A4">
        <w:tab/>
      </w:r>
      <w:r w:rsidRPr="005134A4">
        <w:tab/>
      </w:r>
      <w:r w:rsidRPr="005134A4">
        <w:tab/>
      </w:r>
      <w:r w:rsidRPr="005134A4">
        <w:tab/>
      </w:r>
      <w:r w:rsidRPr="005134A4">
        <w:tab/>
        <w:t>OPTIONAL,</w:t>
      </w:r>
      <w:r w:rsidRPr="005134A4">
        <w:tab/>
        <w:t>-- Need OR</w:t>
      </w:r>
    </w:p>
    <w:p w14:paraId="7D6EC956" w14:textId="77777777" w:rsidR="00242C75" w:rsidRPr="005134A4" w:rsidRDefault="00242C75" w:rsidP="00242C75">
      <w:pPr>
        <w:pStyle w:val="PL"/>
        <w:shd w:val="clear" w:color="auto" w:fill="E6E6E6"/>
      </w:pPr>
      <w:r w:rsidRPr="005134A4">
        <w:tab/>
      </w:r>
      <w:r w:rsidRPr="005134A4">
        <w:tab/>
        <w:t>idleRSRQ-Threshold-r15</w:t>
      </w:r>
      <w:r w:rsidRPr="005134A4">
        <w:tab/>
      </w:r>
      <w:r w:rsidRPr="005134A4">
        <w:tab/>
      </w:r>
      <w:r w:rsidRPr="005134A4">
        <w:tab/>
      </w:r>
      <w:r w:rsidRPr="005134A4">
        <w:tab/>
        <w:t>RSRQ-Range-r13</w:t>
      </w:r>
      <w:r w:rsidRPr="005134A4">
        <w:tab/>
      </w:r>
      <w:r w:rsidRPr="005134A4">
        <w:tab/>
      </w:r>
      <w:r w:rsidRPr="005134A4">
        <w:tab/>
      </w:r>
      <w:r w:rsidRPr="005134A4">
        <w:tab/>
        <w:t>OPTIONAL</w:t>
      </w:r>
      <w:r w:rsidRPr="005134A4">
        <w:tab/>
        <w:t>-- Need OR</w:t>
      </w:r>
    </w:p>
    <w:p w14:paraId="1E2ED0C5" w14:textId="77777777" w:rsidR="00242C75" w:rsidRPr="005134A4" w:rsidRDefault="00242C75" w:rsidP="00242C7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xml:space="preserve">OPTIONAL, </w:t>
      </w:r>
      <w:r w:rsidRPr="005134A4">
        <w:tab/>
        <w:t>-- Need OP</w:t>
      </w:r>
    </w:p>
    <w:p w14:paraId="050BD808" w14:textId="77777777" w:rsidR="00242C75" w:rsidRPr="005134A4" w:rsidRDefault="00242C75" w:rsidP="00242C75">
      <w:pPr>
        <w:pStyle w:val="PL"/>
        <w:shd w:val="clear" w:color="auto" w:fill="E6E6E6"/>
      </w:pPr>
      <w:r w:rsidRPr="005134A4">
        <w:tab/>
        <w:t>...</w:t>
      </w:r>
    </w:p>
    <w:p w14:paraId="326B62CE" w14:textId="77777777" w:rsidR="00242C75" w:rsidRPr="005134A4" w:rsidRDefault="00242C75" w:rsidP="00242C75">
      <w:pPr>
        <w:pStyle w:val="PL"/>
        <w:shd w:val="clear" w:color="auto" w:fill="E6E6E6"/>
      </w:pPr>
      <w:r w:rsidRPr="005134A4">
        <w:t>}</w:t>
      </w:r>
    </w:p>
    <w:bookmarkEnd w:id="10"/>
    <w:p w14:paraId="4CF5334B" w14:textId="6B8F8E7D" w:rsidR="000D3817" w:rsidRDefault="000D3817" w:rsidP="00DF5B9E">
      <w:r>
        <w:t>In LTE Rel-15, if the UE reselects to a cell that is not part of the validity area, it will stop T331 and thus release the idle measurement configuration.</w:t>
      </w:r>
    </w:p>
    <w:p w14:paraId="6E3086F0" w14:textId="50E61A47" w:rsidR="00FC1502" w:rsidRPr="00FC1502" w:rsidRDefault="00B973A7" w:rsidP="00D05CE6">
      <w:pPr>
        <w:rPr>
          <w:i/>
          <w:color w:val="0070C0"/>
        </w:rPr>
      </w:pPr>
      <w:r>
        <w:rPr>
          <w:lang w:val="en-US"/>
        </w:rPr>
        <w:t xml:space="preserve">The </w:t>
      </w:r>
      <w:r w:rsidR="009323CC">
        <w:rPr>
          <w:lang w:val="en-US"/>
        </w:rPr>
        <w:t xml:space="preserve">support for a similar validity area for the Rel-16 early measurement configurations was discussed as part of the </w:t>
      </w:r>
      <w:r w:rsidR="004728C5" w:rsidRPr="00D6384F">
        <w:t>105#54</w:t>
      </w:r>
      <w:r w:rsidR="004728C5">
        <w:t xml:space="preserve"> </w:t>
      </w:r>
      <w:r w:rsidR="009323CC">
        <w:rPr>
          <w:lang w:val="en-US"/>
        </w:rPr>
        <w:t>email discussion</w:t>
      </w:r>
      <w:r w:rsidR="00FC1502">
        <w:rPr>
          <w:lang w:val="en-US"/>
        </w:rPr>
        <w:t>. A</w:t>
      </w:r>
      <w:r>
        <w:rPr>
          <w:lang w:val="en-US"/>
        </w:rPr>
        <w:t>t the RAN2</w:t>
      </w:r>
      <w:r w:rsidR="009323CC">
        <w:rPr>
          <w:lang w:val="en-US"/>
        </w:rPr>
        <w:t>#105bis meeting</w:t>
      </w:r>
      <w:r w:rsidR="00FC1502">
        <w:rPr>
          <w:lang w:val="en-US"/>
        </w:rPr>
        <w:t xml:space="preserve"> it was then left as an FFS whether the validity area is needed also in the Rel-16 early measurements</w:t>
      </w:r>
      <w:r w:rsidR="00D05CE6">
        <w:rPr>
          <w:lang w:val="en-US"/>
        </w:rPr>
        <w:t>.</w:t>
      </w:r>
    </w:p>
    <w:p w14:paraId="33360436" w14:textId="05AFBDE0" w:rsidR="0002276E" w:rsidRDefault="000D3817" w:rsidP="00DF5B9E">
      <w:pPr>
        <w:rPr>
          <w:lang w:val="en-US"/>
        </w:rPr>
      </w:pPr>
      <w:r>
        <w:rPr>
          <w:lang w:val="en-US"/>
        </w:rPr>
        <w:t xml:space="preserve">The early measurement configuration already has a limited duration as controlled through the mandatory duration timer (T331). </w:t>
      </w:r>
      <w:r w:rsidR="00D05CE6">
        <w:rPr>
          <w:lang w:val="en-US"/>
        </w:rPr>
        <w:t xml:space="preserve">The reason to introduce a validity area would </w:t>
      </w:r>
      <w:r>
        <w:rPr>
          <w:lang w:val="en-US"/>
        </w:rPr>
        <w:t xml:space="preserve">then </w:t>
      </w:r>
      <w:r w:rsidR="00D05CE6">
        <w:rPr>
          <w:lang w:val="en-US"/>
        </w:rPr>
        <w:t xml:space="preserve">be to limit the measurements in case the UE moves to an area where the measurements are not useful. </w:t>
      </w:r>
      <w:r>
        <w:rPr>
          <w:lang w:val="en-US"/>
        </w:rPr>
        <w:t xml:space="preserve">However, even if there may be some areas where the early measurements are not considered as useful, it does not make sense to release the whole early measurement configuration when the UE leaves the validity area. It should e.g. be considered that the UE may just temporarily leave the configured validity area and then enter it again. Instead, the UE may avoid performing early measurements while it is outside the validity </w:t>
      </w:r>
      <w:proofErr w:type="gramStart"/>
      <w:r>
        <w:rPr>
          <w:lang w:val="en-US"/>
        </w:rPr>
        <w:t>area,</w:t>
      </w:r>
      <w:r w:rsidR="00781A61">
        <w:rPr>
          <w:lang w:val="en-US"/>
        </w:rPr>
        <w:t xml:space="preserve"> </w:t>
      </w:r>
      <w:r>
        <w:rPr>
          <w:lang w:val="en-US"/>
        </w:rPr>
        <w:t>but</w:t>
      </w:r>
      <w:proofErr w:type="gramEnd"/>
      <w:r>
        <w:rPr>
          <w:lang w:val="en-US"/>
        </w:rPr>
        <w:t xml:space="preserve"> keep the early measurement configuration including timer T331 running.</w:t>
      </w:r>
    </w:p>
    <w:p w14:paraId="2EC41C57" w14:textId="096AA9EE" w:rsidR="00B973A7" w:rsidRDefault="000D3817" w:rsidP="00DF5B9E">
      <w:pPr>
        <w:rPr>
          <w:lang w:val="en-US"/>
        </w:rPr>
      </w:pPr>
      <w:r>
        <w:rPr>
          <w:lang w:val="en-US"/>
        </w:rPr>
        <w:t xml:space="preserve">If the UE then enters the validity area again while timer T331 is still running, it can then continue the early measurements according to the configuration. </w:t>
      </w:r>
      <w:proofErr w:type="gramStart"/>
      <w:r w:rsidR="00A805AC">
        <w:rPr>
          <w:lang w:val="en-US"/>
        </w:rPr>
        <w:t>As long as</w:t>
      </w:r>
      <w:proofErr w:type="gramEnd"/>
      <w:r w:rsidR="00A805AC">
        <w:rPr>
          <w:lang w:val="en-US"/>
        </w:rPr>
        <w:t xml:space="preserve"> the early measurement configuration is not released if the UE leaves the configured validity area, we therefore think that it could be supported also in Rel-16.</w:t>
      </w:r>
    </w:p>
    <w:p w14:paraId="1E4A7344" w14:textId="78C4E3F0" w:rsidR="004E6BD4" w:rsidRDefault="00DF7922" w:rsidP="008E1F0C">
      <w:pPr>
        <w:pStyle w:val="Proposal"/>
      </w:pPr>
      <w:bookmarkStart w:id="11" w:name="_Toc7732997"/>
      <w:bookmarkStart w:id="12" w:name="_Toc4593639"/>
      <w:bookmarkStart w:id="13" w:name="_Toc4625632"/>
      <w:bookmarkStart w:id="14" w:name="_Toc4626895"/>
      <w:bookmarkStart w:id="15" w:name="_Toc4669090"/>
      <w:bookmarkStart w:id="16" w:name="_Toc4701934"/>
      <w:bookmarkStart w:id="17" w:name="_Toc4702186"/>
      <w:bookmarkStart w:id="18" w:name="_Toc7282612"/>
      <w:bookmarkStart w:id="19" w:name="_Toc7437858"/>
      <w:bookmarkStart w:id="20" w:name="_Toc7453739"/>
      <w:bookmarkStart w:id="21" w:name="_Toc7516664"/>
      <w:bookmarkStart w:id="22" w:name="_Toc7540413"/>
      <w:bookmarkStart w:id="23" w:name="_Toc7732165"/>
      <w:bookmarkStart w:id="24" w:name="_Toc7732200"/>
      <w:r>
        <w:t xml:space="preserve">An optional validity area can be </w:t>
      </w:r>
      <w:r w:rsidR="004570B0">
        <w:t>supported</w:t>
      </w:r>
      <w:r>
        <w:t xml:space="preserve"> for </w:t>
      </w:r>
      <w:r w:rsidR="007D3097">
        <w:t xml:space="preserve">idle measurement in </w:t>
      </w:r>
      <w:r w:rsidR="00DB175D">
        <w:t>NR</w:t>
      </w:r>
      <w:r w:rsidR="004570B0">
        <w:t xml:space="preserve">, </w:t>
      </w:r>
      <w:proofErr w:type="gramStart"/>
      <w:r w:rsidR="004570B0">
        <w:t xml:space="preserve">as </w:t>
      </w:r>
      <w:r w:rsidR="004570B0" w:rsidRPr="004570B0">
        <w:t>long as</w:t>
      </w:r>
      <w:proofErr w:type="gramEnd"/>
      <w:r w:rsidR="004570B0" w:rsidRPr="004570B0">
        <w:t xml:space="preserve"> the early measurement configuration is not released </w:t>
      </w:r>
      <w:r w:rsidR="004570B0">
        <w:t>when the UE is camping outside the validity area</w:t>
      </w:r>
      <w:r w:rsidR="00926268">
        <w:t xml:space="preserve"> (i.e. </w:t>
      </w:r>
      <w:r w:rsidR="000B7168">
        <w:t>measurement configuration is released only on T331 expiry)</w:t>
      </w:r>
      <w:r w:rsidR="004E6BD4">
        <w:t>.</w:t>
      </w:r>
      <w:bookmarkEnd w:id="11"/>
      <w:r w:rsidR="004E6BD4">
        <w:t xml:space="preserve"> </w:t>
      </w:r>
    </w:p>
    <w:bookmarkEnd w:id="12"/>
    <w:bookmarkEnd w:id="13"/>
    <w:bookmarkEnd w:id="14"/>
    <w:bookmarkEnd w:id="15"/>
    <w:bookmarkEnd w:id="16"/>
    <w:bookmarkEnd w:id="17"/>
    <w:bookmarkEnd w:id="18"/>
    <w:bookmarkEnd w:id="19"/>
    <w:bookmarkEnd w:id="20"/>
    <w:bookmarkEnd w:id="21"/>
    <w:bookmarkEnd w:id="22"/>
    <w:bookmarkEnd w:id="23"/>
    <w:bookmarkEnd w:id="24"/>
    <w:p w14:paraId="78AD077D" w14:textId="22479D41" w:rsidR="00B973A7" w:rsidRDefault="00B973A7" w:rsidP="00B973A7">
      <w:pPr>
        <w:pStyle w:val="Heading2"/>
      </w:pPr>
      <w:r>
        <w:t>Beam reporting</w:t>
      </w:r>
    </w:p>
    <w:p w14:paraId="21054CF2" w14:textId="2663AECB" w:rsidR="00B973A7" w:rsidRDefault="001714CB" w:rsidP="00B973A7">
      <w:r>
        <w:t>The NR early measurement configuration can include reporting of available beam level measurement results. It was agreed at RAN2#105bis that, if configured to do so, the UE is required to report at least the beam with the highest measurement quantity, either by including only the beam identifier or both the beam identifier and the measured quantity. It is however FFS whether also additional beams can be reported.</w:t>
      </w:r>
    </w:p>
    <w:p w14:paraId="76421338" w14:textId="642F473E" w:rsidR="001714CB" w:rsidRDefault="00B51F0F" w:rsidP="00B973A7">
      <w:r>
        <w:t xml:space="preserve">Beam level information in the measurement report can be used to e.g. determine beams where the network configures Contention Free Random Access (CFRA) resources for PSCell setup. Since the UE may have moved since the best beam was determined, there is a risk that the UE may have moved into another beam at the time of setup/resume. By including additional beams in the measurement report the possibility for the network to configure CFRA resources in a beam where the UE is </w:t>
      </w:r>
      <w:proofErr w:type="gramStart"/>
      <w:r>
        <w:t>actually located</w:t>
      </w:r>
      <w:proofErr w:type="gramEnd"/>
      <w:r>
        <w:t xml:space="preserve"> will then increase.</w:t>
      </w:r>
    </w:p>
    <w:p w14:paraId="2421FDF2" w14:textId="71FC0682" w:rsidR="009323CC" w:rsidRPr="003C6F32" w:rsidRDefault="00B51F0F" w:rsidP="00B973A7">
      <w:r>
        <w:t xml:space="preserve">Reporting of additional beams should therefore be supported for the early measurements. </w:t>
      </w:r>
      <w:r w:rsidR="009323CC">
        <w:t xml:space="preserve">Whether to include </w:t>
      </w:r>
      <w:r w:rsidR="003C6F32">
        <w:t xml:space="preserve">the </w:t>
      </w:r>
      <w:r>
        <w:t xml:space="preserve">available information about </w:t>
      </w:r>
      <w:r w:rsidR="009323CC">
        <w:t xml:space="preserve">additional beams </w:t>
      </w:r>
      <w:r w:rsidR="003C6F32">
        <w:t xml:space="preserve">in the early measurement report </w:t>
      </w:r>
      <w:r w:rsidR="009323CC">
        <w:t xml:space="preserve">or not, and then how many beams to report, should either be part of the early measurement configuration or be indicated by the serving </w:t>
      </w:r>
      <w:r w:rsidR="009323CC">
        <w:lastRenderedPageBreak/>
        <w:t>cell. In case the information is provided by the serving cell, i.e. the cell where the UE initiates the connection setup or connection resume</w:t>
      </w:r>
      <w:r w:rsidR="00B57565">
        <w:t xml:space="preserve"> procedure, the indication can </w:t>
      </w:r>
      <w:r w:rsidR="007D6DCC">
        <w:t xml:space="preserve">e.g. </w:t>
      </w:r>
      <w:r w:rsidR="00B57565">
        <w:t xml:space="preserve">either be sent </w:t>
      </w:r>
      <w:r w:rsidR="009323CC">
        <w:t xml:space="preserve">through system information or </w:t>
      </w:r>
      <w:r w:rsidR="00B57565">
        <w:t xml:space="preserve">be included </w:t>
      </w:r>
      <w:r w:rsidR="009323CC">
        <w:t xml:space="preserve">in the </w:t>
      </w:r>
      <w:r w:rsidR="00B57565">
        <w:t xml:space="preserve">dedicated </w:t>
      </w:r>
      <w:r w:rsidR="009323CC">
        <w:t xml:space="preserve">request for </w:t>
      </w:r>
      <w:r w:rsidR="00B57565">
        <w:t>the early measurement report.</w:t>
      </w:r>
    </w:p>
    <w:p w14:paraId="6365ABD1" w14:textId="2171086B" w:rsidR="00B973A7" w:rsidRDefault="009323CC" w:rsidP="00B973A7">
      <w:pPr>
        <w:pStyle w:val="Proposal"/>
      </w:pPr>
      <w:bookmarkStart w:id="25" w:name="_Toc7453740"/>
      <w:bookmarkStart w:id="26" w:name="_Toc7516665"/>
      <w:bookmarkStart w:id="27" w:name="_Toc7540414"/>
      <w:bookmarkStart w:id="28" w:name="_Toc7732166"/>
      <w:bookmarkStart w:id="29" w:name="_Toc7732201"/>
      <w:bookmarkStart w:id="30" w:name="_Toc7732998"/>
      <w:r>
        <w:t>Reporting of additional beams should be supported for early measurements</w:t>
      </w:r>
      <w:r w:rsidR="00B973A7">
        <w:t>.</w:t>
      </w:r>
      <w:r>
        <w:t xml:space="preserve"> </w:t>
      </w:r>
      <w:r w:rsidR="003C6F32">
        <w:t>It is FFS whether t</w:t>
      </w:r>
      <w:r>
        <w:t xml:space="preserve">he number of beams to report should </w:t>
      </w:r>
      <w:r w:rsidR="003C6F32">
        <w:t xml:space="preserve">part of the </w:t>
      </w:r>
      <w:r>
        <w:t>early measurement configuration or indicated by the serving cell.</w:t>
      </w:r>
      <w:bookmarkEnd w:id="25"/>
      <w:bookmarkEnd w:id="26"/>
      <w:bookmarkEnd w:id="27"/>
      <w:bookmarkEnd w:id="28"/>
      <w:bookmarkEnd w:id="29"/>
      <w:bookmarkEnd w:id="30"/>
    </w:p>
    <w:p w14:paraId="717336F3" w14:textId="77777777" w:rsidR="001714CB" w:rsidRDefault="001714CB" w:rsidP="00946396">
      <w:pPr>
        <w:jc w:val="left"/>
      </w:pPr>
    </w:p>
    <w:p w14:paraId="00E95EA9" w14:textId="00A17B1D" w:rsidR="00B973A7" w:rsidRDefault="00B973A7" w:rsidP="00B973A7">
      <w:pPr>
        <w:pStyle w:val="Heading2"/>
      </w:pPr>
      <w:r>
        <w:t>On the need for CSI-RS based NR early measurements</w:t>
      </w:r>
    </w:p>
    <w:p w14:paraId="21E3575E" w14:textId="77777777" w:rsidR="00191D7A" w:rsidRDefault="00F213E6" w:rsidP="00B973A7">
      <w:r>
        <w:rPr>
          <w:lang w:val="en-US"/>
        </w:rPr>
        <w:t xml:space="preserve">Whether to support </w:t>
      </w:r>
      <w:r w:rsidRPr="00D6384F">
        <w:t>CSI-RS based NR early measurements</w:t>
      </w:r>
      <w:r>
        <w:t xml:space="preserve"> in addition to the SSB based ones was also listed as FFS at the RAN2#105bis meeting.</w:t>
      </w:r>
    </w:p>
    <w:p w14:paraId="2C9EC781" w14:textId="4B7039DB" w:rsidR="00227DBE" w:rsidRPr="00191D7A" w:rsidRDefault="00191D7A" w:rsidP="00B973A7">
      <w:r>
        <w:t xml:space="preserve">CSI-RS measurements are supported in RRC_CONNECTED and in general it is beneficial to align the early measurements with the ones in RRC_CONNECTED as far as possible. Compared to the SSB based measurements, the CSI-RS based ones may provide better information about the quality of a cell and can thus be useful in the decision on fast setup of CA or DC. </w:t>
      </w:r>
      <w:r w:rsidR="00F213E6">
        <w:t xml:space="preserve">The use of CSI-RS measurements would </w:t>
      </w:r>
      <w:r>
        <w:t xml:space="preserve">also be needed </w:t>
      </w:r>
      <w:r w:rsidR="00F213E6">
        <w:t>for fast setup of SCells that do not have any SSB</w:t>
      </w:r>
      <w:r>
        <w:t xml:space="preserve"> allocated at all</w:t>
      </w:r>
      <w:r w:rsidR="00F213E6">
        <w:t>.</w:t>
      </w:r>
    </w:p>
    <w:p w14:paraId="4B384EE7" w14:textId="4F015426" w:rsidR="00227DBE" w:rsidRPr="00D04B70" w:rsidRDefault="00191D7A" w:rsidP="00B973A7">
      <w:pPr>
        <w:rPr>
          <w:lang w:val="en-US"/>
        </w:rPr>
      </w:pPr>
      <w:r w:rsidRPr="003854FF">
        <w:rPr>
          <w:lang w:val="en-US"/>
        </w:rPr>
        <w:t xml:space="preserve">Including </w:t>
      </w:r>
      <w:r w:rsidR="00694BBB" w:rsidRPr="003854FF">
        <w:rPr>
          <w:lang w:val="en-US"/>
        </w:rPr>
        <w:t xml:space="preserve">CSI-RS </w:t>
      </w:r>
      <w:r w:rsidRPr="003854FF">
        <w:rPr>
          <w:lang w:val="en-US"/>
        </w:rPr>
        <w:t xml:space="preserve">based measurements </w:t>
      </w:r>
      <w:r w:rsidR="00694BBB" w:rsidRPr="003854FF">
        <w:rPr>
          <w:lang w:val="en-US"/>
        </w:rPr>
        <w:t xml:space="preserve">is </w:t>
      </w:r>
      <w:r w:rsidRPr="003854FF">
        <w:rPr>
          <w:lang w:val="en-US"/>
        </w:rPr>
        <w:t xml:space="preserve">thus </w:t>
      </w:r>
      <w:r w:rsidR="00694BBB" w:rsidRPr="003854FF">
        <w:rPr>
          <w:lang w:val="en-US"/>
        </w:rPr>
        <w:t>an additional enhancement to the early measurements</w:t>
      </w:r>
      <w:r w:rsidRPr="003854FF">
        <w:rPr>
          <w:lang w:val="en-US"/>
        </w:rPr>
        <w:t xml:space="preserve"> with some benefits and we therefore propose that it is supported. However, </w:t>
      </w:r>
      <w:proofErr w:type="gramStart"/>
      <w:r w:rsidRPr="003854FF">
        <w:rPr>
          <w:lang w:val="en-US"/>
        </w:rPr>
        <w:t>i</w:t>
      </w:r>
      <w:r w:rsidR="00694BBB" w:rsidRPr="003854FF">
        <w:rPr>
          <w:lang w:val="en-US"/>
        </w:rPr>
        <w:t>n order to</w:t>
      </w:r>
      <w:proofErr w:type="gramEnd"/>
      <w:r w:rsidR="00694BBB" w:rsidRPr="003854FF">
        <w:rPr>
          <w:lang w:val="en-US"/>
        </w:rPr>
        <w:t xml:space="preserve"> limit the complexity</w:t>
      </w:r>
      <w:r w:rsidRPr="003854FF">
        <w:rPr>
          <w:lang w:val="en-US"/>
        </w:rPr>
        <w:t xml:space="preserve"> of the feature, we think that the </w:t>
      </w:r>
      <w:r w:rsidR="00694BBB" w:rsidRPr="003854FF">
        <w:rPr>
          <w:lang w:val="en-US"/>
        </w:rPr>
        <w:t xml:space="preserve">support for CSI-RS NR early measurements </w:t>
      </w:r>
      <w:r w:rsidRPr="003854FF">
        <w:rPr>
          <w:lang w:val="en-US"/>
        </w:rPr>
        <w:t xml:space="preserve">then could </w:t>
      </w:r>
      <w:r w:rsidR="00694BBB" w:rsidRPr="003854FF">
        <w:rPr>
          <w:lang w:val="en-US"/>
        </w:rPr>
        <w:t xml:space="preserve">be included </w:t>
      </w:r>
      <w:r w:rsidRPr="003854FF">
        <w:rPr>
          <w:lang w:val="en-US"/>
        </w:rPr>
        <w:t xml:space="preserve">as </w:t>
      </w:r>
      <w:r w:rsidR="00694BBB" w:rsidRPr="003854FF">
        <w:rPr>
          <w:lang w:val="en-US"/>
        </w:rPr>
        <w:t>a separate UE capability.</w:t>
      </w:r>
    </w:p>
    <w:p w14:paraId="3ED40C16" w14:textId="018319F9" w:rsidR="00B973A7" w:rsidRDefault="00694BBB" w:rsidP="00B973A7">
      <w:pPr>
        <w:pStyle w:val="Proposal"/>
      </w:pPr>
      <w:bookmarkStart w:id="31" w:name="_Toc7453741"/>
      <w:bookmarkStart w:id="32" w:name="_Toc7516666"/>
      <w:bookmarkStart w:id="33" w:name="_Toc7540415"/>
      <w:bookmarkStart w:id="34" w:name="_Toc7732167"/>
      <w:bookmarkStart w:id="35" w:name="_Toc7732202"/>
      <w:bookmarkStart w:id="36" w:name="_Toc7732999"/>
      <w:r>
        <w:t>CSI-RS NR early measurements are supported, with the UE support indicated as a separate UE capability</w:t>
      </w:r>
      <w:r w:rsidR="00B973A7">
        <w:t>.</w:t>
      </w:r>
      <w:bookmarkEnd w:id="31"/>
      <w:bookmarkEnd w:id="32"/>
      <w:bookmarkEnd w:id="33"/>
      <w:bookmarkEnd w:id="34"/>
      <w:bookmarkEnd w:id="35"/>
      <w:bookmarkEnd w:id="36"/>
    </w:p>
    <w:p w14:paraId="37ACF2BF" w14:textId="77777777" w:rsidR="00B973A7" w:rsidRPr="002372D1" w:rsidRDefault="00B973A7" w:rsidP="00946396">
      <w:pPr>
        <w:jc w:val="left"/>
      </w:pPr>
    </w:p>
    <w:p w14:paraId="6542952F" w14:textId="6EB70C29" w:rsidR="008E065E" w:rsidRPr="002F6C2F" w:rsidRDefault="00C01F33" w:rsidP="008E065E">
      <w:pPr>
        <w:pStyle w:val="Heading1"/>
      </w:pPr>
      <w:r w:rsidRPr="00CE0424">
        <w:t>Conclusion</w:t>
      </w:r>
    </w:p>
    <w:p w14:paraId="322E79AF" w14:textId="1444B828" w:rsidR="00032AC9" w:rsidRDefault="00032AC9" w:rsidP="00032AC9">
      <w:pPr>
        <w:pStyle w:val="BodyText"/>
      </w:pPr>
      <w:r w:rsidRPr="00CE0424">
        <w:t xml:space="preserve">Based on the discussion in </w:t>
      </w:r>
      <w:r>
        <w:t xml:space="preserve">the previous </w:t>
      </w:r>
      <w:r w:rsidRPr="00CE0424">
        <w:t>section</w:t>
      </w:r>
      <w:r>
        <w:t>s</w:t>
      </w:r>
      <w:r w:rsidRPr="00CE0424">
        <w:t xml:space="preserve"> we propose the following:</w:t>
      </w:r>
    </w:p>
    <w:p w14:paraId="1E662279" w14:textId="77777777" w:rsidR="00A91C56" w:rsidRPr="00A91C5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91C56">
        <w:t>Proposal 1</w:t>
      </w:r>
      <w:r w:rsidR="00A91C56" w:rsidRPr="00A91C56">
        <w:rPr>
          <w:rFonts w:asciiTheme="minorHAnsi" w:eastAsiaTheme="minorEastAsia" w:hAnsiTheme="minorHAnsi" w:cstheme="minorBidi"/>
          <w:b w:val="0"/>
          <w:sz w:val="22"/>
          <w:lang w:eastAsia="sv-SE"/>
        </w:rPr>
        <w:tab/>
      </w:r>
      <w:r w:rsidR="00A91C56">
        <w:t xml:space="preserve">The dedicated and broadcast early measurement configuration have the same structure except for the measurement duration, which is only included in the dedicated signalling (the </w:t>
      </w:r>
      <w:r w:rsidR="00A91C56" w:rsidRPr="007D7435">
        <w:rPr>
          <w:i/>
        </w:rPr>
        <w:t>RRCRelease</w:t>
      </w:r>
      <w:r w:rsidR="00A91C56">
        <w:t xml:space="preserve"> message).</w:t>
      </w:r>
    </w:p>
    <w:p w14:paraId="4F453E6B" w14:textId="56FF6B22" w:rsidR="00A91C56" w:rsidRPr="00A91C56" w:rsidRDefault="00A91C56">
      <w:pPr>
        <w:pStyle w:val="TOC1"/>
        <w:rPr>
          <w:rFonts w:asciiTheme="minorHAnsi" w:eastAsiaTheme="minorEastAsia" w:hAnsiTheme="minorHAnsi" w:cstheme="minorBidi"/>
          <w:b w:val="0"/>
          <w:sz w:val="22"/>
          <w:lang w:eastAsia="sv-SE"/>
        </w:rPr>
      </w:pPr>
      <w:r>
        <w:t>Proposal 2</w:t>
      </w:r>
      <w:r w:rsidRPr="00A91C56">
        <w:rPr>
          <w:rFonts w:asciiTheme="minorHAnsi" w:eastAsiaTheme="minorEastAsia" w:hAnsiTheme="minorHAnsi" w:cstheme="minorBidi"/>
          <w:b w:val="0"/>
          <w:sz w:val="22"/>
          <w:lang w:eastAsia="sv-SE"/>
        </w:rPr>
        <w:tab/>
      </w:r>
      <w:r>
        <w:t>An optional validity area can be supported for idle measurement in NR, as long as the early measurement configuration is not released when the UE is camping outside the validity area (i.e. idle measurement configuration is released only on T331 expiry).</w:t>
      </w:r>
    </w:p>
    <w:p w14:paraId="2E786D22" w14:textId="77777777" w:rsidR="00A91C56" w:rsidRPr="00A91C56" w:rsidRDefault="00A91C56">
      <w:pPr>
        <w:pStyle w:val="TOC1"/>
        <w:rPr>
          <w:rFonts w:asciiTheme="minorHAnsi" w:eastAsiaTheme="minorEastAsia" w:hAnsiTheme="minorHAnsi" w:cstheme="minorBidi"/>
          <w:b w:val="0"/>
          <w:sz w:val="22"/>
          <w:lang w:eastAsia="sv-SE"/>
        </w:rPr>
      </w:pPr>
      <w:r>
        <w:t>Proposal 3</w:t>
      </w:r>
      <w:r w:rsidRPr="00A91C56">
        <w:rPr>
          <w:rFonts w:asciiTheme="minorHAnsi" w:eastAsiaTheme="minorEastAsia" w:hAnsiTheme="minorHAnsi" w:cstheme="minorBidi"/>
          <w:b w:val="0"/>
          <w:sz w:val="22"/>
          <w:lang w:eastAsia="sv-SE"/>
        </w:rPr>
        <w:tab/>
      </w:r>
      <w:r>
        <w:t>Reporting of additional beams should be supported for early measurements. It is FFS whether the number of beams to report should part of the early measurement configuration or indicated by the serving cell.</w:t>
      </w:r>
    </w:p>
    <w:p w14:paraId="5CFF7828" w14:textId="77777777" w:rsidR="00A91C56" w:rsidRPr="00A91C56" w:rsidRDefault="00A91C56">
      <w:pPr>
        <w:pStyle w:val="TOC1"/>
        <w:rPr>
          <w:rFonts w:asciiTheme="minorHAnsi" w:eastAsiaTheme="minorEastAsia" w:hAnsiTheme="minorHAnsi" w:cstheme="minorBidi"/>
          <w:b w:val="0"/>
          <w:sz w:val="22"/>
          <w:lang w:eastAsia="sv-SE"/>
        </w:rPr>
      </w:pPr>
      <w:r>
        <w:t>Proposal 4</w:t>
      </w:r>
      <w:r w:rsidRPr="00A91C56">
        <w:rPr>
          <w:rFonts w:asciiTheme="minorHAnsi" w:eastAsiaTheme="minorEastAsia" w:hAnsiTheme="minorHAnsi" w:cstheme="minorBidi"/>
          <w:b w:val="0"/>
          <w:sz w:val="22"/>
          <w:lang w:eastAsia="sv-SE"/>
        </w:rPr>
        <w:tab/>
      </w:r>
      <w:r>
        <w:t>CSI-RS NR early measurements are supported, with the UE support indicated as a separate UE capability.</w:t>
      </w:r>
    </w:p>
    <w:p w14:paraId="282BE507" w14:textId="42464F89"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37" w:name="_In-sequence_SDU_delivery"/>
      <w:bookmarkEnd w:id="37"/>
      <w:r w:rsidRPr="00CE0424">
        <w:t>References</w:t>
      </w:r>
    </w:p>
    <w:bookmarkStart w:id="38" w:name="_Ref382900"/>
    <w:bookmarkStart w:id="39" w:name="_Ref524870"/>
    <w:bookmarkStart w:id="40" w:name="_Ref717521"/>
    <w:p w14:paraId="00A01188" w14:textId="7C1E3693" w:rsidR="00180680" w:rsidRPr="00D04B70" w:rsidRDefault="00A60BFB" w:rsidP="00D04B70">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38"/>
      <w:r w:rsidRPr="00A60BFB">
        <w:t>WID on Multi-RAT Dual-Connectivity and Carrier Aggregation enhancements (</w:t>
      </w:r>
      <w:proofErr w:type="spellStart"/>
      <w:r w:rsidRPr="00A60BFB">
        <w:t>LTE_NR_DC_CA_enh</w:t>
      </w:r>
      <w:proofErr w:type="spellEnd"/>
      <w:r w:rsidRPr="00A60BFB">
        <w:t>-Core)</w:t>
      </w:r>
      <w:bookmarkEnd w:id="39"/>
      <w:r w:rsidR="00714C40">
        <w:t>, RAN#81</w:t>
      </w:r>
      <w:bookmarkEnd w:id="40"/>
    </w:p>
    <w:sectPr w:rsidR="00180680" w:rsidRPr="00D04B7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2D0B0" w14:textId="77777777" w:rsidR="001C2C9D" w:rsidRDefault="001C2C9D">
      <w:r>
        <w:separator/>
      </w:r>
    </w:p>
  </w:endnote>
  <w:endnote w:type="continuationSeparator" w:id="0">
    <w:p w14:paraId="39C4D591" w14:textId="77777777" w:rsidR="001C2C9D" w:rsidRDefault="001C2C9D">
      <w:r>
        <w:continuationSeparator/>
      </w:r>
    </w:p>
  </w:endnote>
  <w:endnote w:type="continuationNotice" w:id="1">
    <w:p w14:paraId="2FBCA2E7" w14:textId="77777777" w:rsidR="001C2C9D" w:rsidRDefault="001C2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3521BB" w:rsidRDefault="003521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5CC99" w14:textId="77777777" w:rsidR="001C2C9D" w:rsidRDefault="001C2C9D">
      <w:r>
        <w:separator/>
      </w:r>
    </w:p>
  </w:footnote>
  <w:footnote w:type="continuationSeparator" w:id="0">
    <w:p w14:paraId="17989A0D" w14:textId="77777777" w:rsidR="001C2C9D" w:rsidRDefault="001C2C9D">
      <w:r>
        <w:continuationSeparator/>
      </w:r>
    </w:p>
  </w:footnote>
  <w:footnote w:type="continuationNotice" w:id="1">
    <w:p w14:paraId="348D572E" w14:textId="77777777" w:rsidR="001C2C9D" w:rsidRDefault="001C2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3521BB" w:rsidRDefault="003521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22A05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842206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C406B3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546"/>
        </w:tabs>
        <w:ind w:left="45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60168"/>
    <w:multiLevelType w:val="hybridMultilevel"/>
    <w:tmpl w:val="7506D332"/>
    <w:lvl w:ilvl="0" w:tplc="CF8CB36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DC78C2"/>
    <w:multiLevelType w:val="hybridMultilevel"/>
    <w:tmpl w:val="DEBA49F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156EBD"/>
    <w:multiLevelType w:val="hybridMultilevel"/>
    <w:tmpl w:val="9A52A0F0"/>
    <w:lvl w:ilvl="0" w:tplc="54EEC76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FF5B6A"/>
    <w:multiLevelType w:val="hybridMultilevel"/>
    <w:tmpl w:val="6DE0BD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2B3C5BA2"/>
    <w:multiLevelType w:val="hybridMultilevel"/>
    <w:tmpl w:val="5EBCAB6A"/>
    <w:lvl w:ilvl="0" w:tplc="F7CE3374">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348AD"/>
    <w:multiLevelType w:val="hybridMultilevel"/>
    <w:tmpl w:val="26C2486A"/>
    <w:lvl w:ilvl="0" w:tplc="9120F4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150D32"/>
    <w:multiLevelType w:val="hybridMultilevel"/>
    <w:tmpl w:val="88F0D142"/>
    <w:lvl w:ilvl="0" w:tplc="041D0017">
      <w:start w:val="1"/>
      <w:numFmt w:val="lowerLetter"/>
      <w:lvlText w:val="%1)"/>
      <w:lvlJc w:val="left"/>
      <w:pPr>
        <w:ind w:left="720" w:hanging="360"/>
      </w:pPr>
      <w:rPr>
        <w:rFonts w:hint="default"/>
      </w:rPr>
    </w:lvl>
    <w:lvl w:ilvl="1" w:tplc="041D001B">
      <w:start w:val="1"/>
      <w:numFmt w:val="lowerRoman"/>
      <w:lvlText w:val="%2."/>
      <w:lvlJc w:val="righ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7"/>
  </w:num>
  <w:num w:numId="4">
    <w:abstractNumId w:val="19"/>
  </w:num>
  <w:num w:numId="5">
    <w:abstractNumId w:val="14"/>
  </w:num>
  <w:num w:numId="6">
    <w:abstractNumId w:val="22"/>
  </w:num>
  <w:num w:numId="7">
    <w:abstractNumId w:val="26"/>
  </w:num>
  <w:num w:numId="8">
    <w:abstractNumId w:val="15"/>
  </w:num>
  <w:num w:numId="9">
    <w:abstractNumId w:val="13"/>
  </w:num>
  <w:num w:numId="10">
    <w:abstractNumId w:val="3"/>
  </w:num>
  <w:num w:numId="11">
    <w:abstractNumId w:val="2"/>
  </w:num>
  <w:num w:numId="12">
    <w:abstractNumId w:val="1"/>
  </w:num>
  <w:num w:numId="13">
    <w:abstractNumId w:val="25"/>
  </w:num>
  <w:num w:numId="14">
    <w:abstractNumId w:val="0"/>
  </w:num>
  <w:num w:numId="15">
    <w:abstractNumId w:val="29"/>
  </w:num>
  <w:num w:numId="16">
    <w:abstractNumId w:val="3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7"/>
  </w:num>
  <w:num w:numId="20">
    <w:abstractNumId w:val="25"/>
  </w:num>
  <w:num w:numId="21">
    <w:abstractNumId w:val="17"/>
  </w:num>
  <w:num w:numId="22">
    <w:abstractNumId w:val="11"/>
  </w:num>
  <w:num w:numId="23">
    <w:abstractNumId w:val="16"/>
  </w:num>
  <w:num w:numId="24">
    <w:abstractNumId w:val="23"/>
  </w:num>
  <w:num w:numId="25">
    <w:abstractNumId w:val="21"/>
  </w:num>
  <w:num w:numId="26">
    <w:abstractNumId w:val="5"/>
  </w:num>
  <w:num w:numId="27">
    <w:abstractNumId w:val="28"/>
  </w:num>
  <w:num w:numId="28">
    <w:abstractNumId w:val="32"/>
  </w:num>
  <w:num w:numId="29">
    <w:abstractNumId w:val="31"/>
  </w:num>
  <w:num w:numId="30">
    <w:abstractNumId w:val="34"/>
  </w:num>
  <w:num w:numId="31">
    <w:abstractNumId w:val="33"/>
  </w:num>
  <w:num w:numId="32">
    <w:abstractNumId w:val="8"/>
  </w:num>
  <w:num w:numId="33">
    <w:abstractNumId w:val="27"/>
  </w:num>
  <w:num w:numId="34">
    <w:abstractNumId w:val="10"/>
  </w:num>
  <w:num w:numId="35">
    <w:abstractNumId w:val="9"/>
  </w:num>
  <w:num w:numId="36">
    <w:abstractNumId w:val="6"/>
  </w:num>
  <w:num w:numId="37">
    <w:abstractNumId w:val="20"/>
  </w:num>
  <w:num w:numId="38">
    <w:abstractNumId w:val="7"/>
  </w:num>
  <w:num w:numId="39">
    <w:abstractNumId w:val="18"/>
  </w:num>
  <w:num w:numId="4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276E"/>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44EF"/>
    <w:rsid w:val="00044C53"/>
    <w:rsid w:val="00047D7D"/>
    <w:rsid w:val="00052A07"/>
    <w:rsid w:val="000534E3"/>
    <w:rsid w:val="00053B7F"/>
    <w:rsid w:val="000548B0"/>
    <w:rsid w:val="00054DB1"/>
    <w:rsid w:val="0005606A"/>
    <w:rsid w:val="00057117"/>
    <w:rsid w:val="000616E7"/>
    <w:rsid w:val="00061E9E"/>
    <w:rsid w:val="0006487E"/>
    <w:rsid w:val="00065E1A"/>
    <w:rsid w:val="0006618B"/>
    <w:rsid w:val="00074BAE"/>
    <w:rsid w:val="00077E5F"/>
    <w:rsid w:val="0008036A"/>
    <w:rsid w:val="00081AE6"/>
    <w:rsid w:val="00082A75"/>
    <w:rsid w:val="00082AE3"/>
    <w:rsid w:val="000838C5"/>
    <w:rsid w:val="00083C42"/>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B7168"/>
    <w:rsid w:val="000C165A"/>
    <w:rsid w:val="000C1B2C"/>
    <w:rsid w:val="000C1EC9"/>
    <w:rsid w:val="000C2E19"/>
    <w:rsid w:val="000D0D07"/>
    <w:rsid w:val="000D1622"/>
    <w:rsid w:val="000D2CF6"/>
    <w:rsid w:val="000D3817"/>
    <w:rsid w:val="000D40E8"/>
    <w:rsid w:val="000D4797"/>
    <w:rsid w:val="000D6413"/>
    <w:rsid w:val="000E0527"/>
    <w:rsid w:val="000E1E92"/>
    <w:rsid w:val="000E27F3"/>
    <w:rsid w:val="000E767D"/>
    <w:rsid w:val="000F06D6"/>
    <w:rsid w:val="000F0EB1"/>
    <w:rsid w:val="000F1106"/>
    <w:rsid w:val="000F3BE9"/>
    <w:rsid w:val="000F3F6C"/>
    <w:rsid w:val="000F5687"/>
    <w:rsid w:val="000F6DF3"/>
    <w:rsid w:val="001005FF"/>
    <w:rsid w:val="0010114A"/>
    <w:rsid w:val="00102312"/>
    <w:rsid w:val="00102354"/>
    <w:rsid w:val="0010310F"/>
    <w:rsid w:val="0010608E"/>
    <w:rsid w:val="001062FB"/>
    <w:rsid w:val="001063E6"/>
    <w:rsid w:val="0011366C"/>
    <w:rsid w:val="00113CF4"/>
    <w:rsid w:val="0011447B"/>
    <w:rsid w:val="001153EA"/>
    <w:rsid w:val="00115643"/>
    <w:rsid w:val="0011566A"/>
    <w:rsid w:val="00116765"/>
    <w:rsid w:val="001219F5"/>
    <w:rsid w:val="00121A20"/>
    <w:rsid w:val="00121ED4"/>
    <w:rsid w:val="0012377F"/>
    <w:rsid w:val="00123D74"/>
    <w:rsid w:val="00124314"/>
    <w:rsid w:val="001255EB"/>
    <w:rsid w:val="00126B4A"/>
    <w:rsid w:val="00132FD0"/>
    <w:rsid w:val="001344C0"/>
    <w:rsid w:val="001346FA"/>
    <w:rsid w:val="00135252"/>
    <w:rsid w:val="00135E2B"/>
    <w:rsid w:val="0013653A"/>
    <w:rsid w:val="00137AB5"/>
    <w:rsid w:val="00137F0B"/>
    <w:rsid w:val="00142AA5"/>
    <w:rsid w:val="00142FB8"/>
    <w:rsid w:val="001433E0"/>
    <w:rsid w:val="00151634"/>
    <w:rsid w:val="00151E23"/>
    <w:rsid w:val="001526E0"/>
    <w:rsid w:val="00153B7A"/>
    <w:rsid w:val="00154D00"/>
    <w:rsid w:val="001551B5"/>
    <w:rsid w:val="00155A1B"/>
    <w:rsid w:val="001572A3"/>
    <w:rsid w:val="00160F7A"/>
    <w:rsid w:val="001659C1"/>
    <w:rsid w:val="001710F5"/>
    <w:rsid w:val="001714CB"/>
    <w:rsid w:val="001727B5"/>
    <w:rsid w:val="0017350A"/>
    <w:rsid w:val="00173A8E"/>
    <w:rsid w:val="001751BE"/>
    <w:rsid w:val="0017613E"/>
    <w:rsid w:val="00177795"/>
    <w:rsid w:val="00177ECF"/>
    <w:rsid w:val="00180680"/>
    <w:rsid w:val="0018143F"/>
    <w:rsid w:val="00183193"/>
    <w:rsid w:val="001838EB"/>
    <w:rsid w:val="001848D1"/>
    <w:rsid w:val="0018491A"/>
    <w:rsid w:val="00184D36"/>
    <w:rsid w:val="00185C62"/>
    <w:rsid w:val="00186645"/>
    <w:rsid w:val="00186CB5"/>
    <w:rsid w:val="00190AC1"/>
    <w:rsid w:val="00191D7A"/>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2FB"/>
    <w:rsid w:val="001B3A32"/>
    <w:rsid w:val="001B5A5D"/>
    <w:rsid w:val="001B776A"/>
    <w:rsid w:val="001C0DA1"/>
    <w:rsid w:val="001C13BD"/>
    <w:rsid w:val="001C1CE5"/>
    <w:rsid w:val="001C2C9D"/>
    <w:rsid w:val="001C3D2A"/>
    <w:rsid w:val="001C488E"/>
    <w:rsid w:val="001D1D7A"/>
    <w:rsid w:val="001D2A95"/>
    <w:rsid w:val="001D51BA"/>
    <w:rsid w:val="001D5C9C"/>
    <w:rsid w:val="001D6342"/>
    <w:rsid w:val="001D6CF6"/>
    <w:rsid w:val="001D6D53"/>
    <w:rsid w:val="001E136F"/>
    <w:rsid w:val="001E36ED"/>
    <w:rsid w:val="001E3BC4"/>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4DA8"/>
    <w:rsid w:val="00215423"/>
    <w:rsid w:val="002155B1"/>
    <w:rsid w:val="002158FA"/>
    <w:rsid w:val="00220600"/>
    <w:rsid w:val="002224DB"/>
    <w:rsid w:val="00223FCB"/>
    <w:rsid w:val="00224841"/>
    <w:rsid w:val="002252C3"/>
    <w:rsid w:val="002253AB"/>
    <w:rsid w:val="00225C54"/>
    <w:rsid w:val="00227DBE"/>
    <w:rsid w:val="00230765"/>
    <w:rsid w:val="002319E4"/>
    <w:rsid w:val="00234A59"/>
    <w:rsid w:val="00235632"/>
    <w:rsid w:val="00235872"/>
    <w:rsid w:val="002372D1"/>
    <w:rsid w:val="002377EC"/>
    <w:rsid w:val="00241559"/>
    <w:rsid w:val="00241FD0"/>
    <w:rsid w:val="00242C75"/>
    <w:rsid w:val="002435B3"/>
    <w:rsid w:val="0024573C"/>
    <w:rsid w:val="002458EB"/>
    <w:rsid w:val="002500C8"/>
    <w:rsid w:val="0025312B"/>
    <w:rsid w:val="002540F4"/>
    <w:rsid w:val="00256492"/>
    <w:rsid w:val="00257543"/>
    <w:rsid w:val="0025797A"/>
    <w:rsid w:val="0026030A"/>
    <w:rsid w:val="00260981"/>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14AE"/>
    <w:rsid w:val="002C25E6"/>
    <w:rsid w:val="002C41E6"/>
    <w:rsid w:val="002C6044"/>
    <w:rsid w:val="002D071A"/>
    <w:rsid w:val="002D0A6F"/>
    <w:rsid w:val="002D22A4"/>
    <w:rsid w:val="002D34B2"/>
    <w:rsid w:val="002D7637"/>
    <w:rsid w:val="002E08A5"/>
    <w:rsid w:val="002E17F2"/>
    <w:rsid w:val="002E558E"/>
    <w:rsid w:val="002E7CAE"/>
    <w:rsid w:val="002F2771"/>
    <w:rsid w:val="002F37A9"/>
    <w:rsid w:val="002F44AC"/>
    <w:rsid w:val="002F6C2F"/>
    <w:rsid w:val="00301CE6"/>
    <w:rsid w:val="0030256B"/>
    <w:rsid w:val="003025DF"/>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726A"/>
    <w:rsid w:val="00327792"/>
    <w:rsid w:val="00331751"/>
    <w:rsid w:val="00334016"/>
    <w:rsid w:val="00334579"/>
    <w:rsid w:val="00335858"/>
    <w:rsid w:val="00335FD8"/>
    <w:rsid w:val="00336BDA"/>
    <w:rsid w:val="00337126"/>
    <w:rsid w:val="003400C8"/>
    <w:rsid w:val="003405F6"/>
    <w:rsid w:val="00340B42"/>
    <w:rsid w:val="00342BD7"/>
    <w:rsid w:val="00342E25"/>
    <w:rsid w:val="00343A07"/>
    <w:rsid w:val="00343A41"/>
    <w:rsid w:val="00346DB5"/>
    <w:rsid w:val="003477B1"/>
    <w:rsid w:val="003521BB"/>
    <w:rsid w:val="003548FA"/>
    <w:rsid w:val="0035491B"/>
    <w:rsid w:val="00355952"/>
    <w:rsid w:val="00357380"/>
    <w:rsid w:val="003602D9"/>
    <w:rsid w:val="003604CE"/>
    <w:rsid w:val="00360F65"/>
    <w:rsid w:val="00362F10"/>
    <w:rsid w:val="0036439C"/>
    <w:rsid w:val="00365DDF"/>
    <w:rsid w:val="00366289"/>
    <w:rsid w:val="00370E47"/>
    <w:rsid w:val="003742AC"/>
    <w:rsid w:val="00377CE1"/>
    <w:rsid w:val="003813ED"/>
    <w:rsid w:val="00385112"/>
    <w:rsid w:val="003854FF"/>
    <w:rsid w:val="00385BF0"/>
    <w:rsid w:val="00385FD5"/>
    <w:rsid w:val="0038692E"/>
    <w:rsid w:val="00386B62"/>
    <w:rsid w:val="00390622"/>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369F"/>
    <w:rsid w:val="003B36A3"/>
    <w:rsid w:val="003B460B"/>
    <w:rsid w:val="003B7456"/>
    <w:rsid w:val="003B7FE5"/>
    <w:rsid w:val="003C11C8"/>
    <w:rsid w:val="003C2702"/>
    <w:rsid w:val="003C6F32"/>
    <w:rsid w:val="003C7806"/>
    <w:rsid w:val="003C78CB"/>
    <w:rsid w:val="003D109F"/>
    <w:rsid w:val="003D2478"/>
    <w:rsid w:val="003D2F31"/>
    <w:rsid w:val="003D3C45"/>
    <w:rsid w:val="003D5B1F"/>
    <w:rsid w:val="003E0140"/>
    <w:rsid w:val="003E15FA"/>
    <w:rsid w:val="003E1A4B"/>
    <w:rsid w:val="003E1ED7"/>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70B0"/>
    <w:rsid w:val="00457565"/>
    <w:rsid w:val="00457B71"/>
    <w:rsid w:val="00460D96"/>
    <w:rsid w:val="004625AE"/>
    <w:rsid w:val="00463CCC"/>
    <w:rsid w:val="004669E2"/>
    <w:rsid w:val="004670F2"/>
    <w:rsid w:val="004679C1"/>
    <w:rsid w:val="00470C31"/>
    <w:rsid w:val="00471EDB"/>
    <w:rsid w:val="00472811"/>
    <w:rsid w:val="004728C5"/>
    <w:rsid w:val="004734D0"/>
    <w:rsid w:val="00473510"/>
    <w:rsid w:val="0047435A"/>
    <w:rsid w:val="0047556B"/>
    <w:rsid w:val="00477768"/>
    <w:rsid w:val="004813ED"/>
    <w:rsid w:val="004822CE"/>
    <w:rsid w:val="0049118B"/>
    <w:rsid w:val="00491763"/>
    <w:rsid w:val="00492BC5"/>
    <w:rsid w:val="00493944"/>
    <w:rsid w:val="00493AB1"/>
    <w:rsid w:val="004964F1"/>
    <w:rsid w:val="004A00D0"/>
    <w:rsid w:val="004A16BC"/>
    <w:rsid w:val="004A2B94"/>
    <w:rsid w:val="004A6868"/>
    <w:rsid w:val="004B1909"/>
    <w:rsid w:val="004B42A4"/>
    <w:rsid w:val="004B4CC1"/>
    <w:rsid w:val="004B787B"/>
    <w:rsid w:val="004B7C0C"/>
    <w:rsid w:val="004C01C8"/>
    <w:rsid w:val="004C1338"/>
    <w:rsid w:val="004C2C87"/>
    <w:rsid w:val="004C2DB9"/>
    <w:rsid w:val="004C3898"/>
    <w:rsid w:val="004C3FDF"/>
    <w:rsid w:val="004C4DE5"/>
    <w:rsid w:val="004D1B91"/>
    <w:rsid w:val="004D36B1"/>
    <w:rsid w:val="004D6356"/>
    <w:rsid w:val="004D7EBD"/>
    <w:rsid w:val="004E2680"/>
    <w:rsid w:val="004E28F9"/>
    <w:rsid w:val="004E3819"/>
    <w:rsid w:val="004E462E"/>
    <w:rsid w:val="004E4B5D"/>
    <w:rsid w:val="004E56DC"/>
    <w:rsid w:val="004E5A25"/>
    <w:rsid w:val="004E6BD4"/>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53A7"/>
    <w:rsid w:val="00520470"/>
    <w:rsid w:val="005207F4"/>
    <w:rsid w:val="0052099E"/>
    <w:rsid w:val="005219CF"/>
    <w:rsid w:val="00524B4E"/>
    <w:rsid w:val="0052551C"/>
    <w:rsid w:val="0052660D"/>
    <w:rsid w:val="00527C32"/>
    <w:rsid w:val="005311C4"/>
    <w:rsid w:val="00531CFA"/>
    <w:rsid w:val="00531FD8"/>
    <w:rsid w:val="005336BB"/>
    <w:rsid w:val="005346BB"/>
    <w:rsid w:val="00534B59"/>
    <w:rsid w:val="00536759"/>
    <w:rsid w:val="005373FE"/>
    <w:rsid w:val="00537C62"/>
    <w:rsid w:val="005441D4"/>
    <w:rsid w:val="00546970"/>
    <w:rsid w:val="005477CE"/>
    <w:rsid w:val="00554E19"/>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C1C"/>
    <w:rsid w:val="005A209A"/>
    <w:rsid w:val="005A4EE3"/>
    <w:rsid w:val="005A662D"/>
    <w:rsid w:val="005B1BC9"/>
    <w:rsid w:val="005B35D7"/>
    <w:rsid w:val="005B392A"/>
    <w:rsid w:val="005B3AA3"/>
    <w:rsid w:val="005B591A"/>
    <w:rsid w:val="005B6E26"/>
    <w:rsid w:val="005B6F83"/>
    <w:rsid w:val="005C58CB"/>
    <w:rsid w:val="005C74FB"/>
    <w:rsid w:val="005D14F1"/>
    <w:rsid w:val="005D1602"/>
    <w:rsid w:val="005D19B8"/>
    <w:rsid w:val="005D21D4"/>
    <w:rsid w:val="005D5C76"/>
    <w:rsid w:val="005D6DF2"/>
    <w:rsid w:val="005D77AF"/>
    <w:rsid w:val="005E03C7"/>
    <w:rsid w:val="005E22C9"/>
    <w:rsid w:val="005E2399"/>
    <w:rsid w:val="005E385F"/>
    <w:rsid w:val="005E5B81"/>
    <w:rsid w:val="005E6277"/>
    <w:rsid w:val="005E73FE"/>
    <w:rsid w:val="005E7774"/>
    <w:rsid w:val="005F0ABB"/>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4151F"/>
    <w:rsid w:val="00641533"/>
    <w:rsid w:val="00641793"/>
    <w:rsid w:val="0064208D"/>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92A96"/>
    <w:rsid w:val="00692D87"/>
    <w:rsid w:val="00694BBB"/>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208"/>
    <w:rsid w:val="00727680"/>
    <w:rsid w:val="0073026D"/>
    <w:rsid w:val="007348B1"/>
    <w:rsid w:val="00735055"/>
    <w:rsid w:val="007351AE"/>
    <w:rsid w:val="007362A6"/>
    <w:rsid w:val="00736D7D"/>
    <w:rsid w:val="0073713E"/>
    <w:rsid w:val="00740E58"/>
    <w:rsid w:val="0074181C"/>
    <w:rsid w:val="007429D4"/>
    <w:rsid w:val="007445A0"/>
    <w:rsid w:val="0074524B"/>
    <w:rsid w:val="00747D8B"/>
    <w:rsid w:val="0075059E"/>
    <w:rsid w:val="00751072"/>
    <w:rsid w:val="00751228"/>
    <w:rsid w:val="00756168"/>
    <w:rsid w:val="0075701A"/>
    <w:rsid w:val="007571E1"/>
    <w:rsid w:val="007577E7"/>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1A61"/>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46AC"/>
    <w:rsid w:val="007C60BF"/>
    <w:rsid w:val="007C6A07"/>
    <w:rsid w:val="007C75A1"/>
    <w:rsid w:val="007C77A5"/>
    <w:rsid w:val="007C77EE"/>
    <w:rsid w:val="007D04E5"/>
    <w:rsid w:val="007D3097"/>
    <w:rsid w:val="007D5901"/>
    <w:rsid w:val="007D6DCC"/>
    <w:rsid w:val="007D6EAE"/>
    <w:rsid w:val="007D7526"/>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3110"/>
    <w:rsid w:val="008235DB"/>
    <w:rsid w:val="00824AB4"/>
    <w:rsid w:val="00824E03"/>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476F1"/>
    <w:rsid w:val="00853538"/>
    <w:rsid w:val="00853AEF"/>
    <w:rsid w:val="00854F97"/>
    <w:rsid w:val="00856911"/>
    <w:rsid w:val="00856EDA"/>
    <w:rsid w:val="00865453"/>
    <w:rsid w:val="008676FF"/>
    <w:rsid w:val="008677FD"/>
    <w:rsid w:val="00867EF2"/>
    <w:rsid w:val="008706D4"/>
    <w:rsid w:val="00870F8A"/>
    <w:rsid w:val="008719A4"/>
    <w:rsid w:val="00871D03"/>
    <w:rsid w:val="00871D23"/>
    <w:rsid w:val="00874312"/>
    <w:rsid w:val="0087437C"/>
    <w:rsid w:val="00874780"/>
    <w:rsid w:val="00875CD7"/>
    <w:rsid w:val="00876B4D"/>
    <w:rsid w:val="00877F18"/>
    <w:rsid w:val="00882528"/>
    <w:rsid w:val="008852E4"/>
    <w:rsid w:val="00887B9C"/>
    <w:rsid w:val="008915EB"/>
    <w:rsid w:val="00894A88"/>
    <w:rsid w:val="00895386"/>
    <w:rsid w:val="0089700A"/>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731"/>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D1114"/>
    <w:rsid w:val="008D34F1"/>
    <w:rsid w:val="008D39D8"/>
    <w:rsid w:val="008D476E"/>
    <w:rsid w:val="008D6D1A"/>
    <w:rsid w:val="008E065E"/>
    <w:rsid w:val="008E0927"/>
    <w:rsid w:val="008E1909"/>
    <w:rsid w:val="008E1F0C"/>
    <w:rsid w:val="008E4734"/>
    <w:rsid w:val="008E4CF6"/>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6268"/>
    <w:rsid w:val="0092730E"/>
    <w:rsid w:val="00931BD9"/>
    <w:rsid w:val="00931FC4"/>
    <w:rsid w:val="009323CC"/>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3D74"/>
    <w:rsid w:val="0096430A"/>
    <w:rsid w:val="00964895"/>
    <w:rsid w:val="0096554B"/>
    <w:rsid w:val="009656E1"/>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3AC2"/>
    <w:rsid w:val="009B4DF4"/>
    <w:rsid w:val="009B564E"/>
    <w:rsid w:val="009B655A"/>
    <w:rsid w:val="009B6A74"/>
    <w:rsid w:val="009B7E87"/>
    <w:rsid w:val="009C0172"/>
    <w:rsid w:val="009C279B"/>
    <w:rsid w:val="009C3559"/>
    <w:rsid w:val="009C403E"/>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AE2"/>
    <w:rsid w:val="009F30D1"/>
    <w:rsid w:val="009F344F"/>
    <w:rsid w:val="009F5095"/>
    <w:rsid w:val="00A048A8"/>
    <w:rsid w:val="00A04F49"/>
    <w:rsid w:val="00A105C3"/>
    <w:rsid w:val="00A110CE"/>
    <w:rsid w:val="00A1143E"/>
    <w:rsid w:val="00A13E54"/>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A77"/>
    <w:rsid w:val="00A63483"/>
    <w:rsid w:val="00A63B02"/>
    <w:rsid w:val="00A646C4"/>
    <w:rsid w:val="00A657D7"/>
    <w:rsid w:val="00A65870"/>
    <w:rsid w:val="00A660AC"/>
    <w:rsid w:val="00A66F55"/>
    <w:rsid w:val="00A6797A"/>
    <w:rsid w:val="00A67E6C"/>
    <w:rsid w:val="00A71B99"/>
    <w:rsid w:val="00A739D0"/>
    <w:rsid w:val="00A761D4"/>
    <w:rsid w:val="00A77EC4"/>
    <w:rsid w:val="00A805AC"/>
    <w:rsid w:val="00A814F0"/>
    <w:rsid w:val="00A825BA"/>
    <w:rsid w:val="00A84421"/>
    <w:rsid w:val="00A87EE7"/>
    <w:rsid w:val="00A91C56"/>
    <w:rsid w:val="00A9241C"/>
    <w:rsid w:val="00A92879"/>
    <w:rsid w:val="00A9442A"/>
    <w:rsid w:val="00A9624B"/>
    <w:rsid w:val="00A97FF6"/>
    <w:rsid w:val="00AA016F"/>
    <w:rsid w:val="00AA1ED6"/>
    <w:rsid w:val="00AA51D6"/>
    <w:rsid w:val="00AA71E9"/>
    <w:rsid w:val="00AB0BC8"/>
    <w:rsid w:val="00AB0BEE"/>
    <w:rsid w:val="00AB11CA"/>
    <w:rsid w:val="00AB14D9"/>
    <w:rsid w:val="00AB2797"/>
    <w:rsid w:val="00AB2AB1"/>
    <w:rsid w:val="00AB4AB8"/>
    <w:rsid w:val="00AB655E"/>
    <w:rsid w:val="00AB7835"/>
    <w:rsid w:val="00AB79A4"/>
    <w:rsid w:val="00AC007F"/>
    <w:rsid w:val="00AC2ECD"/>
    <w:rsid w:val="00AC2F6B"/>
    <w:rsid w:val="00AC3119"/>
    <w:rsid w:val="00AC37BF"/>
    <w:rsid w:val="00AC49FB"/>
    <w:rsid w:val="00AC4E4E"/>
    <w:rsid w:val="00AC5A10"/>
    <w:rsid w:val="00AD0AA3"/>
    <w:rsid w:val="00AD1063"/>
    <w:rsid w:val="00AD3A0B"/>
    <w:rsid w:val="00AD3F94"/>
    <w:rsid w:val="00AD4A5A"/>
    <w:rsid w:val="00AD7927"/>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1155"/>
    <w:rsid w:val="00B13F5F"/>
    <w:rsid w:val="00B157F9"/>
    <w:rsid w:val="00B15A00"/>
    <w:rsid w:val="00B15FB9"/>
    <w:rsid w:val="00B17B04"/>
    <w:rsid w:val="00B20256"/>
    <w:rsid w:val="00B20D09"/>
    <w:rsid w:val="00B2763F"/>
    <w:rsid w:val="00B27AAC"/>
    <w:rsid w:val="00B30929"/>
    <w:rsid w:val="00B33ACB"/>
    <w:rsid w:val="00B34996"/>
    <w:rsid w:val="00B365C3"/>
    <w:rsid w:val="00B372AA"/>
    <w:rsid w:val="00B37973"/>
    <w:rsid w:val="00B40445"/>
    <w:rsid w:val="00B41888"/>
    <w:rsid w:val="00B4507A"/>
    <w:rsid w:val="00B45A52"/>
    <w:rsid w:val="00B46175"/>
    <w:rsid w:val="00B50C00"/>
    <w:rsid w:val="00B51F0F"/>
    <w:rsid w:val="00B553E2"/>
    <w:rsid w:val="00B55B9D"/>
    <w:rsid w:val="00B56B21"/>
    <w:rsid w:val="00B57565"/>
    <w:rsid w:val="00B6188F"/>
    <w:rsid w:val="00B62CEA"/>
    <w:rsid w:val="00B640CF"/>
    <w:rsid w:val="00B64816"/>
    <w:rsid w:val="00B65A95"/>
    <w:rsid w:val="00B664C7"/>
    <w:rsid w:val="00B67820"/>
    <w:rsid w:val="00B703AC"/>
    <w:rsid w:val="00B70F52"/>
    <w:rsid w:val="00B739F6"/>
    <w:rsid w:val="00B74664"/>
    <w:rsid w:val="00B75150"/>
    <w:rsid w:val="00B77A1A"/>
    <w:rsid w:val="00B81A6C"/>
    <w:rsid w:val="00B82BD9"/>
    <w:rsid w:val="00B85DE5"/>
    <w:rsid w:val="00B86CA8"/>
    <w:rsid w:val="00B87DFD"/>
    <w:rsid w:val="00B90F73"/>
    <w:rsid w:val="00B93B59"/>
    <w:rsid w:val="00B9406A"/>
    <w:rsid w:val="00B96913"/>
    <w:rsid w:val="00B973A7"/>
    <w:rsid w:val="00BA0AEB"/>
    <w:rsid w:val="00BA0D38"/>
    <w:rsid w:val="00BA1CD1"/>
    <w:rsid w:val="00BA2280"/>
    <w:rsid w:val="00BA2A08"/>
    <w:rsid w:val="00BA56D2"/>
    <w:rsid w:val="00BA6990"/>
    <w:rsid w:val="00BA6AED"/>
    <w:rsid w:val="00BA76E0"/>
    <w:rsid w:val="00BA76FC"/>
    <w:rsid w:val="00BA7F97"/>
    <w:rsid w:val="00BB220A"/>
    <w:rsid w:val="00BB2A25"/>
    <w:rsid w:val="00BB4E40"/>
    <w:rsid w:val="00BB51E9"/>
    <w:rsid w:val="00BC0FDC"/>
    <w:rsid w:val="00BC3053"/>
    <w:rsid w:val="00BC4D2E"/>
    <w:rsid w:val="00BC738C"/>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2D88"/>
    <w:rsid w:val="00BF3279"/>
    <w:rsid w:val="00BF3B64"/>
    <w:rsid w:val="00BF430D"/>
    <w:rsid w:val="00BF4C4C"/>
    <w:rsid w:val="00BF74C7"/>
    <w:rsid w:val="00BF74D5"/>
    <w:rsid w:val="00C015F1"/>
    <w:rsid w:val="00C01F33"/>
    <w:rsid w:val="00C02CC6"/>
    <w:rsid w:val="00C040F7"/>
    <w:rsid w:val="00C041B0"/>
    <w:rsid w:val="00C044AB"/>
    <w:rsid w:val="00C05706"/>
    <w:rsid w:val="00C07377"/>
    <w:rsid w:val="00C10478"/>
    <w:rsid w:val="00C10FAD"/>
    <w:rsid w:val="00C115BC"/>
    <w:rsid w:val="00C11B08"/>
    <w:rsid w:val="00C12107"/>
    <w:rsid w:val="00C127F5"/>
    <w:rsid w:val="00C12B89"/>
    <w:rsid w:val="00C14C5A"/>
    <w:rsid w:val="00C14D4B"/>
    <w:rsid w:val="00C150FB"/>
    <w:rsid w:val="00C153EE"/>
    <w:rsid w:val="00C154BB"/>
    <w:rsid w:val="00C15CF0"/>
    <w:rsid w:val="00C21C35"/>
    <w:rsid w:val="00C231E7"/>
    <w:rsid w:val="00C235B0"/>
    <w:rsid w:val="00C24345"/>
    <w:rsid w:val="00C2565E"/>
    <w:rsid w:val="00C277EB"/>
    <w:rsid w:val="00C279B5"/>
    <w:rsid w:val="00C27C45"/>
    <w:rsid w:val="00C33B76"/>
    <w:rsid w:val="00C3719D"/>
    <w:rsid w:val="00C41A5D"/>
    <w:rsid w:val="00C42DB5"/>
    <w:rsid w:val="00C45322"/>
    <w:rsid w:val="00C45D14"/>
    <w:rsid w:val="00C54995"/>
    <w:rsid w:val="00C54D41"/>
    <w:rsid w:val="00C556A8"/>
    <w:rsid w:val="00C55EFD"/>
    <w:rsid w:val="00C5696C"/>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719E"/>
    <w:rsid w:val="00C87A16"/>
    <w:rsid w:val="00C87F55"/>
    <w:rsid w:val="00C9027A"/>
    <w:rsid w:val="00C9068E"/>
    <w:rsid w:val="00C93C4B"/>
    <w:rsid w:val="00C93CE2"/>
    <w:rsid w:val="00C944AB"/>
    <w:rsid w:val="00C95B40"/>
    <w:rsid w:val="00C95E01"/>
    <w:rsid w:val="00CA067E"/>
    <w:rsid w:val="00CA1798"/>
    <w:rsid w:val="00CA1ED8"/>
    <w:rsid w:val="00CB131A"/>
    <w:rsid w:val="00CB1F63"/>
    <w:rsid w:val="00CB223D"/>
    <w:rsid w:val="00CB7170"/>
    <w:rsid w:val="00CC040E"/>
    <w:rsid w:val="00CC091C"/>
    <w:rsid w:val="00CC111F"/>
    <w:rsid w:val="00CC2011"/>
    <w:rsid w:val="00CC3180"/>
    <w:rsid w:val="00CC3EA0"/>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CF69FD"/>
    <w:rsid w:val="00D0349B"/>
    <w:rsid w:val="00D03549"/>
    <w:rsid w:val="00D04B70"/>
    <w:rsid w:val="00D05054"/>
    <w:rsid w:val="00D05CE6"/>
    <w:rsid w:val="00D076C2"/>
    <w:rsid w:val="00D07867"/>
    <w:rsid w:val="00D10249"/>
    <w:rsid w:val="00D10C97"/>
    <w:rsid w:val="00D115C3"/>
    <w:rsid w:val="00D11897"/>
    <w:rsid w:val="00D13135"/>
    <w:rsid w:val="00D13E4E"/>
    <w:rsid w:val="00D202A2"/>
    <w:rsid w:val="00D203B5"/>
    <w:rsid w:val="00D239A7"/>
    <w:rsid w:val="00D23F47"/>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70471"/>
    <w:rsid w:val="00D708B0"/>
    <w:rsid w:val="00D725B7"/>
    <w:rsid w:val="00D75C1D"/>
    <w:rsid w:val="00D761EB"/>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3E74"/>
    <w:rsid w:val="00D951CD"/>
    <w:rsid w:val="00D95420"/>
    <w:rsid w:val="00D9697A"/>
    <w:rsid w:val="00D9783D"/>
    <w:rsid w:val="00DA2FA4"/>
    <w:rsid w:val="00DA305E"/>
    <w:rsid w:val="00DA4373"/>
    <w:rsid w:val="00DA5417"/>
    <w:rsid w:val="00DA56E8"/>
    <w:rsid w:val="00DA6387"/>
    <w:rsid w:val="00DB0A9F"/>
    <w:rsid w:val="00DB175D"/>
    <w:rsid w:val="00DB1E0B"/>
    <w:rsid w:val="00DB377D"/>
    <w:rsid w:val="00DC2D36"/>
    <w:rsid w:val="00DC53EF"/>
    <w:rsid w:val="00DD1848"/>
    <w:rsid w:val="00DD2882"/>
    <w:rsid w:val="00DD78E0"/>
    <w:rsid w:val="00DE5608"/>
    <w:rsid w:val="00DE58D0"/>
    <w:rsid w:val="00DE654F"/>
    <w:rsid w:val="00DF0B6E"/>
    <w:rsid w:val="00DF15E0"/>
    <w:rsid w:val="00DF1D6C"/>
    <w:rsid w:val="00DF2AAA"/>
    <w:rsid w:val="00DF37A0"/>
    <w:rsid w:val="00DF3D41"/>
    <w:rsid w:val="00DF535E"/>
    <w:rsid w:val="00DF59D3"/>
    <w:rsid w:val="00DF5B9E"/>
    <w:rsid w:val="00DF602A"/>
    <w:rsid w:val="00DF6874"/>
    <w:rsid w:val="00DF7922"/>
    <w:rsid w:val="00DF7C58"/>
    <w:rsid w:val="00E076D6"/>
    <w:rsid w:val="00E110E7"/>
    <w:rsid w:val="00E11B20"/>
    <w:rsid w:val="00E11C4C"/>
    <w:rsid w:val="00E1605C"/>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195F"/>
    <w:rsid w:val="00E72E83"/>
    <w:rsid w:val="00E72EFC"/>
    <w:rsid w:val="00E73AB0"/>
    <w:rsid w:val="00E75759"/>
    <w:rsid w:val="00E758EC"/>
    <w:rsid w:val="00E76C8F"/>
    <w:rsid w:val="00E80955"/>
    <w:rsid w:val="00E8234C"/>
    <w:rsid w:val="00E82E0D"/>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4EA2"/>
    <w:rsid w:val="00EC27C6"/>
    <w:rsid w:val="00EC2C89"/>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5552"/>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70CC"/>
    <w:rsid w:val="00F071D1"/>
    <w:rsid w:val="00F07533"/>
    <w:rsid w:val="00F10629"/>
    <w:rsid w:val="00F10FCC"/>
    <w:rsid w:val="00F12EC4"/>
    <w:rsid w:val="00F13085"/>
    <w:rsid w:val="00F13340"/>
    <w:rsid w:val="00F13877"/>
    <w:rsid w:val="00F149D0"/>
    <w:rsid w:val="00F15FA5"/>
    <w:rsid w:val="00F16F51"/>
    <w:rsid w:val="00F203E6"/>
    <w:rsid w:val="00F209B7"/>
    <w:rsid w:val="00F213E6"/>
    <w:rsid w:val="00F2376F"/>
    <w:rsid w:val="00F243D8"/>
    <w:rsid w:val="00F25210"/>
    <w:rsid w:val="00F26427"/>
    <w:rsid w:val="00F30828"/>
    <w:rsid w:val="00F313D6"/>
    <w:rsid w:val="00F35926"/>
    <w:rsid w:val="00F36702"/>
    <w:rsid w:val="00F40F0C"/>
    <w:rsid w:val="00F46A51"/>
    <w:rsid w:val="00F4766C"/>
    <w:rsid w:val="00F50350"/>
    <w:rsid w:val="00F507D1"/>
    <w:rsid w:val="00F519CE"/>
    <w:rsid w:val="00F51ADA"/>
    <w:rsid w:val="00F54665"/>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502"/>
    <w:rsid w:val="00FC16B9"/>
    <w:rsid w:val="00FC5BB2"/>
    <w:rsid w:val="00FC5DCB"/>
    <w:rsid w:val="00FC7429"/>
    <w:rsid w:val="00FD07F6"/>
    <w:rsid w:val="00FD1EC8"/>
    <w:rsid w:val="00FD37F0"/>
    <w:rsid w:val="00FD47ED"/>
    <w:rsid w:val="00FD74DB"/>
    <w:rsid w:val="00FD7660"/>
    <w:rsid w:val="00FE0655"/>
    <w:rsid w:val="00FE2365"/>
    <w:rsid w:val="00FE47B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3CA5E996-387D-4773-9CF4-FF4D47E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tabs>
        <w:tab w:val="clear" w:pos="4546"/>
        <w:tab w:val="num" w:pos="576"/>
      </w:tabs>
      <w:spacing w:before="180"/>
      <w:ind w:left="576"/>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B1Zchn">
    <w:name w:val="B1 Zchn"/>
    <w:link w:val="B1"/>
    <w:rsid w:val="001E36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5NUHHDQN7SK2-1476151046-47582</_dlc_DocId>
    <_dlc_DocIdUrl xmlns="f166a696-7b5b-4ccd-9f0c-ffde0cceec81">
      <Url>https://ericsson.sharepoint.com/sites/star/_layouts/15/DocIdRedir.aspx?ID=5NUHHDQN7SK2-1476151046-47582</Url>
      <Description>5NUHHDQN7SK2-1476151046-47582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42617BB4-1174-46BA-B182-DAF61F7B9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D4286D7-4511-4FC9-9CD3-2DE4C9317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TotalTime>
  <Pages>4</Pages>
  <Words>2151</Words>
  <Characters>11405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Oumer Teyeb</cp:lastModifiedBy>
  <cp:revision>2</cp:revision>
  <cp:lastPrinted>2019-03-25T10:06:00Z</cp:lastPrinted>
  <dcterms:created xsi:type="dcterms:W3CDTF">2019-05-02T21:55:00Z</dcterms:created>
  <dcterms:modified xsi:type="dcterms:W3CDTF">2019-05-02T21:55:00Z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f6a8203d-fcac-403b-a864-d352e69db5f0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512">
    <vt:lpwstr>335</vt:lpwstr>
  </property>
  <property fmtid="{D5CDD505-2E9C-101B-9397-08002B2CF9AE}" pid="19" name="AuthorIds_UIVersion_1024">
    <vt:lpwstr>40</vt:lpwstr>
  </property>
</Properties>
</file>